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800"/>
        <w:gridCol w:w="1257"/>
        <w:gridCol w:w="743"/>
        <w:gridCol w:w="600"/>
        <w:gridCol w:w="200"/>
        <w:gridCol w:w="400"/>
        <w:gridCol w:w="20"/>
        <w:gridCol w:w="980"/>
        <w:gridCol w:w="2000"/>
        <w:gridCol w:w="400"/>
        <w:gridCol w:w="220"/>
        <w:gridCol w:w="1380"/>
        <w:gridCol w:w="1700"/>
        <w:gridCol w:w="800"/>
      </w:tblGrid>
      <w:tr>
        <w:tblPrEx>
          <w:tblCellMar>
            <w:top w:w="0" w:type="dxa"/>
            <w:left w:w="10" w:type="dxa"/>
            <w:bottom w:w="0" w:type="dxa"/>
            <w:right w:w="10" w:type="dxa"/>
          </w:tblCellMar>
        </w:tblPrEx>
        <w:trPr>
          <w:trHeight w:val="0" w:hRule="atLeast"/>
        </w:trPr>
        <w:tc>
          <w:p>
            <w:pPr>
              <w:pStyle w:val="4"/>
            </w:pPr>
            <w:bookmarkStart w:id="0" w:name="JR_PAGE_ANCHOR_0_1"/>
            <w:bookmarkEnd w:id="0"/>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13"/>
            <w:tcMar>
              <w:top w:w="0" w:type="dxa"/>
              <w:left w:w="0" w:type="dxa"/>
              <w:bottom w:w="0" w:type="dxa"/>
              <w:right w:w="0" w:type="dxa"/>
            </w:tcMar>
            <w:vAlign w:val="center"/>
          </w:tcPr>
          <w:p>
            <w:pPr>
              <w:spacing w:before="0" w:after="0" w:line="240" w:lineRule="auto"/>
              <w:jc w:val="center"/>
            </w:pPr>
            <w:r>
              <w:rPr>
                <w:rFonts w:ascii="原版宋体" w:hAnsi="原版宋体" w:eastAsia="原版宋体" w:cs="原版宋体"/>
                <w:b/>
                <w:color w:val="000000"/>
                <w:sz w:val="40"/>
              </w:rPr>
              <w:t>“常乐智享一个月A款净值型理财产品”定期报告</w:t>
            </w:r>
          </w:p>
        </w:tc>
        <w:tc>
          <w:p>
            <w:pPr>
              <w:pStyle w:val="4"/>
            </w:pPr>
          </w:p>
        </w:tc>
      </w:tr>
      <w:tr>
        <w:tblPrEx>
          <w:tblCellMar>
            <w:top w:w="0" w:type="dxa"/>
            <w:left w:w="10" w:type="dxa"/>
            <w:bottom w:w="0" w:type="dxa"/>
            <w:right w:w="10" w:type="dxa"/>
          </w:tblCellMar>
        </w:tblPrEx>
        <w:trPr>
          <w:trHeight w:val="7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产品管理人：常熟农商银行</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产品托管人：招商银行苏州分行营业部</w:t>
            </w:r>
          </w:p>
        </w:tc>
        <w:tc>
          <w:p>
            <w:pPr>
              <w:pStyle w:val="4"/>
            </w:pPr>
          </w:p>
        </w:tc>
      </w:tr>
      <w:tr>
        <w:tblPrEx>
          <w:tblCellMar>
            <w:top w:w="0" w:type="dxa"/>
            <w:left w:w="10" w:type="dxa"/>
            <w:bottom w:w="0" w:type="dxa"/>
            <w:right w:w="10" w:type="dxa"/>
          </w:tblCellMar>
        </w:tblPrEx>
        <w:trPr>
          <w:trHeight w:val="11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b/>
                <w:color w:val="000000"/>
                <w:sz w:val="20"/>
              </w:rPr>
              <w:t>1  重要提示</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产品的过往业绩并不代表其未来表现。投资有风险，投资者在作出投资决策前应仔细阅读本产品说明书。</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本报告中财务资料未经审计。</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本报告期自2026年01月01日起至03月31日止。</w:t>
            </w:r>
          </w:p>
        </w:tc>
        <w:tc>
          <w:p>
            <w:pPr>
              <w:pStyle w:val="4"/>
            </w:pPr>
          </w:p>
        </w:tc>
      </w:tr>
      <w:tr>
        <w:tblPrEx>
          <w:tblCellMar>
            <w:top w:w="0" w:type="dxa"/>
            <w:left w:w="10" w:type="dxa"/>
            <w:bottom w:w="0" w:type="dxa"/>
            <w:right w:w="10" w:type="dxa"/>
          </w:tblCellMar>
        </w:tblPrEx>
        <w:trPr>
          <w:trHeight w:val="7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2  产品概况</w:t>
            </w:r>
          </w:p>
        </w:tc>
        <w:tc>
          <w:p>
            <w:pPr>
              <w:pStyle w:val="4"/>
            </w:pPr>
          </w:p>
        </w:tc>
      </w:tr>
      <w:tr>
        <w:tblPrEx>
          <w:tblCellMar>
            <w:top w:w="0" w:type="dxa"/>
            <w:left w:w="10" w:type="dxa"/>
            <w:bottom w:w="0" w:type="dxa"/>
            <w:right w:w="10" w:type="dxa"/>
          </w:tblCellMar>
        </w:tblPrEx>
        <w:trPr>
          <w:trHeight w:val="8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产品名称</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常乐智享一个月A款净值型理财产品</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产品编码</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CLZXA1M</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全国银行业理财信息登记系统编码</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C1115421000006</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产品运作方式</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开放式净值型</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产品类型</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固定收益类</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募集方式</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公募</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报告期末产品份额总额（万份）</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56980</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产品管理人</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常熟农商银行</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3  产品净值表现</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Pr>
          <w:p>
            <w:pPr>
              <w:pStyle w:val="4"/>
            </w:pPr>
          </w:p>
        </w:tc>
        <w:tc>
          <w:tcPr>
            <w:gridSpan w:val="9"/>
            <w:tcMar>
              <w:top w:w="0" w:type="dxa"/>
              <w:left w:w="0" w:type="dxa"/>
              <w:bottom w:w="0" w:type="dxa"/>
              <w:right w:w="0" w:type="dxa"/>
            </w:tcMar>
            <w:vAlign w:val="center"/>
          </w:tcPr>
          <w:p>
            <w:pPr>
              <w:spacing w:before="0" w:after="0" w:line="360" w:lineRule="auto"/>
              <w:jc w:val="right"/>
            </w:pPr>
            <w:r>
              <w:rPr>
                <w:rFonts w:ascii="原版宋体" w:hAnsi="原版宋体" w:eastAsia="原版宋体" w:cs="原版宋体"/>
                <w:color w:val="000000"/>
                <w:sz w:val="20"/>
              </w:rPr>
              <w:t>（单位：元）</w:t>
            </w: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报告期（2026年01月01日-2026年03月31日）</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1.期末产品资产净值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691,894,055.26</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2.期末产品份额净值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1.214273</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3.期末产品份额累计净值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1.214273</w:t>
            </w: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1" w:name="JR_PAGE_ANCHOR_0_2"/>
            <w:bookmarkEnd w:id="1"/>
          </w:p>
        </w:tc>
        <w:tc>
          <w:p>
            <w:pPr>
              <w:pStyle w:val="4"/>
            </w:pPr>
          </w:p>
        </w:tc>
        <w:tc>
          <w:tcPr>
            <w:gridSpan w:val="5"/>
          </w:tcPr>
          <w:p>
            <w:pPr>
              <w:pStyle w:val="4"/>
            </w:pPr>
          </w:p>
        </w:tc>
        <w:tc>
          <w:p>
            <w:pPr>
              <w:pStyle w:val="4"/>
            </w:pPr>
          </w:p>
        </w:tc>
        <w:tc>
          <w:tcPr>
            <w:gridSpan w:val="3"/>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4  投资组合报告</w:t>
            </w: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4.1 报告期末产品资产组合情况</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项目</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金额（元）</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占产品总资产的比例（%）</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固定收益投资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710,275,747.37</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98.94%</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710,275,747.37</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98.94%</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      非标资产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权益投资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其中：基金</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金融衍生品投资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4</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买入返售金融资产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其中：买断式回购</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5</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银行存款合计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7,632,294.98</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1.06%</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6</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其他资产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7</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717,908,042.35</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100.00%</w:t>
            </w:r>
          </w:p>
        </w:tc>
        <w:tc>
          <w:p>
            <w:pPr>
              <w:pStyle w:val="4"/>
            </w:pPr>
          </w:p>
        </w:tc>
      </w:tr>
      <w:tr>
        <w:tblPrEx>
          <w:tblCellMar>
            <w:top w:w="0" w:type="dxa"/>
            <w:left w:w="10" w:type="dxa"/>
            <w:bottom w:w="0" w:type="dxa"/>
            <w:right w:w="10" w:type="dxa"/>
          </w:tblCellMar>
        </w:tblPrEx>
        <w:trPr>
          <w:trHeight w:val="2000" w:hRule="exact"/>
        </w:trPr>
        <w:tc>
          <w:p>
            <w:pPr>
              <w:pStyle w:val="4"/>
            </w:pPr>
          </w:p>
        </w:tc>
        <w:tc>
          <w:p>
            <w:pPr>
              <w:pStyle w:val="4"/>
            </w:pPr>
          </w:p>
        </w:tc>
        <w:tc>
          <w:tcPr>
            <w:gridSpan w:val="5"/>
          </w:tcPr>
          <w:p>
            <w:pPr>
              <w:pStyle w:val="4"/>
            </w:pPr>
          </w:p>
        </w:tc>
        <w:tc>
          <w:p>
            <w:pPr>
              <w:pStyle w:val="4"/>
            </w:pPr>
          </w:p>
        </w:tc>
        <w:tc>
          <w:tcPr>
            <w:gridSpan w:val="3"/>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4.2 报告期末按债券品种分类的债券投资组合</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债券品种</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金额（元）</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占产品资产净值比例（％）</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国家债券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央行票据</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金融债券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71,689,149.45</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10.36%</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其中：政策性金融债</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71,689,149.45</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10.36%</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4</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企业债券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539,579,318.97</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77.99%</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5</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企业短期融资券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99,007,278.95</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14.31%</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6</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可转债</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7</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其他</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8</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710,275,747.37</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102.66%</w:t>
            </w: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2" w:name="JR_PAGE_ANCHOR_0_3"/>
            <w:bookmarkEnd w:id="2"/>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4.3 报告期末按市值占产品资产净值比例大小排名的前十名资产投资明细</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资产代码</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资产名称</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数量</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市值(元)</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center"/>
            </w:pPr>
            <w:r>
              <w:rPr>
                <w:rFonts w:ascii="原版宋体" w:hAnsi="原版宋体" w:eastAsia="原版宋体" w:cs="原版宋体"/>
                <w:b/>
                <w:color w:val="000000"/>
                <w:sz w:val="20"/>
              </w:rPr>
              <w:t>占产品资产净值比例（％）</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1</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SS250789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23湖城01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51,757,819.87</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7.48%</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2</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012582267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25昆山创业SCP006</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50,464,130.82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7.29%</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3</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SS178458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21嵊州02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49,000,000.00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50,378,804.96</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7.28%</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4</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250206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25国开06</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40,000,000.00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40,615,032.33</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5.87%</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5</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SS257174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25江东01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40,000,000.00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40,062,684.93</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5.79%</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6</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032380324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23南浦口PPN001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30,000,000.00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31,163,512.60</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4.50%</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7</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220208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22国开08</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30,000,000.00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31,074,117.12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4.49%</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8</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032280467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22空港城发PPN001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30,000,000.00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30,869,077.40</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4.46%</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9</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032380690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23奉化投资PPN002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30,000,000.00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30,852,494.38</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4.46%</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10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032100797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21安吉两山PPN001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30,000,000.00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30,593,166.99</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4.42%</w:t>
            </w:r>
          </w:p>
        </w:tc>
        <w:tc>
          <w:p>
            <w:pPr>
              <w:pStyle w:val="4"/>
            </w:pPr>
          </w:p>
        </w:tc>
      </w:tr>
      <w:tr>
        <w:tblPrEx>
          <w:tblCellMar>
            <w:top w:w="0" w:type="dxa"/>
            <w:left w:w="10" w:type="dxa"/>
            <w:bottom w:w="0" w:type="dxa"/>
            <w:right w:w="10" w:type="dxa"/>
          </w:tblCellMar>
        </w:tblPrEx>
        <w:trPr>
          <w:trHeight w:val="580" w:hRule="exact"/>
        </w:trPr>
        <w:tc>
          <w:p>
            <w:pPr>
              <w:pStyle w:val="4"/>
            </w:pPr>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4.4 报告期末投资组合流动性风险分析</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 xml:space="preserve">    报告期内，产品管理人通过合理安排资产配置结构，保持一定比例的高流动性资产，控制资产久期、杠杆融资比例，管控产品流动性风险。持仓中利率债、同业存单及高等级信用债占比较高，对于关键时点的规模变动和资金面波动都有充足的准备，且融资渠道畅通多元，风险总体可控。</w:t>
            </w:r>
          </w:p>
        </w:tc>
        <w:tc>
          <w:p>
            <w:pPr>
              <w:pStyle w:val="4"/>
            </w:pPr>
          </w:p>
        </w:tc>
      </w:tr>
      <w:tr>
        <w:tblPrEx>
          <w:tblCellMar>
            <w:top w:w="0" w:type="dxa"/>
            <w:left w:w="10" w:type="dxa"/>
            <w:bottom w:w="0" w:type="dxa"/>
            <w:right w:w="10" w:type="dxa"/>
          </w:tblCellMar>
        </w:tblPrEx>
        <w:trPr>
          <w:trHeight w:val="1020" w:hRule="exact"/>
        </w:trPr>
        <w:tc>
          <w:p>
            <w:pPr>
              <w:pStyle w:val="4"/>
            </w:pPr>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00" w:hRule="exact"/>
        </w:trPr>
        <w:tc>
          <w:p>
            <w:pPr>
              <w:pStyle w:val="4"/>
            </w:pPr>
            <w:bookmarkStart w:id="3" w:name="_GoBack" w:colFirst="1" w:colLast="7"/>
          </w:p>
        </w:tc>
        <w:tc>
          <w:tcPr>
            <w:tcW w:w="10700" w:type="dxa"/>
            <w:gridSpan w:val="13"/>
            <w:tcMar>
              <w:top w:w="0" w:type="dxa"/>
              <w:left w:w="0" w:type="dxa"/>
              <w:bottom w:w="0" w:type="dxa"/>
              <w:right w:w="0" w:type="dxa"/>
            </w:tcMar>
            <w:vAlign w:val="center"/>
          </w:tcPr>
          <w:p>
            <w:pPr>
              <w:spacing w:before="0" w:after="0" w:line="360" w:lineRule="auto"/>
              <w:rPr>
                <w:rFonts w:ascii="原版宋体" w:hAnsi="原版宋体" w:eastAsia="原版宋体" w:cs="原版宋体"/>
                <w:color w:val="000000"/>
                <w:sz w:val="20"/>
              </w:rPr>
            </w:pPr>
            <w:r>
              <w:rPr>
                <w:rFonts w:hint="eastAsia" w:ascii="原版宋体" w:hAnsi="原版宋体" w:eastAsia="原版宋体" w:cs="原版宋体"/>
                <w:b/>
                <w:color w:val="000000"/>
                <w:sz w:val="20"/>
                <w:lang w:val="en-US" w:eastAsia="zh-CN"/>
              </w:rPr>
              <w:t>5</w:t>
            </w:r>
            <w:r>
              <w:rPr>
                <w:rFonts w:ascii="原版宋体" w:hAnsi="原版宋体" w:eastAsia="原版宋体" w:cs="原版宋体"/>
                <w:b/>
                <w:color w:val="000000"/>
                <w:sz w:val="20"/>
              </w:rPr>
              <w:t xml:space="preserve">  </w:t>
            </w:r>
            <w:r>
              <w:rPr>
                <w:rFonts w:hint="eastAsia" w:ascii="原版宋体" w:hAnsi="原版宋体" w:eastAsia="原版宋体" w:cs="原版宋体"/>
                <w:b/>
                <w:color w:val="000000"/>
                <w:sz w:val="20"/>
                <w:lang w:eastAsia="zh-CN"/>
              </w:rPr>
              <w:t>投资账户信息</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户名</w:t>
            </w:r>
          </w:p>
        </w:tc>
        <w:tc>
          <w:tcPr>
            <w:tcW w:w="8643" w:type="dxa"/>
            <w:gridSpan w:val="11"/>
            <w:tcMar>
              <w:top w:w="0" w:type="dxa"/>
              <w:left w:w="0" w:type="dxa"/>
              <w:bottom w:w="0" w:type="dxa"/>
              <w:right w:w="0" w:type="dxa"/>
            </w:tcMar>
            <w:vAlign w:val="center"/>
          </w:tcPr>
          <w:p>
            <w:pPr>
              <w:jc w:val="center"/>
            </w:pPr>
            <w:r>
              <w:rPr>
                <w:rFonts w:hint="eastAsia" w:ascii="原版宋体" w:hAnsi="原版宋体" w:eastAsia="原版宋体" w:cs="原版宋体"/>
                <w:color w:val="000000"/>
                <w:sz w:val="20"/>
                <w:lang w:eastAsia="zh-CN"/>
              </w:rPr>
              <w:t>常熟农商银行-常乐智享一个月A款净值型理财产品</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账号</w:t>
            </w:r>
          </w:p>
        </w:tc>
        <w:tc>
          <w:tcPr>
            <w:tcW w:w="8643" w:type="dxa"/>
            <w:gridSpan w:val="11"/>
            <w:tcMar>
              <w:top w:w="0" w:type="dxa"/>
              <w:left w:w="0" w:type="dxa"/>
              <w:bottom w:w="0" w:type="dxa"/>
              <w:right w:w="0" w:type="dxa"/>
            </w:tcMar>
            <w:vAlign w:val="center"/>
          </w:tcPr>
          <w:p>
            <w:pPr>
              <w:ind w:left="0" w:leftChars="0"/>
              <w:jc w:val="center"/>
            </w:pPr>
            <w:r>
              <w:rPr>
                <w:rFonts w:hint="eastAsia" w:ascii="原版宋体" w:hAnsi="原版宋体" w:eastAsia="原版宋体" w:cs="原版宋体"/>
                <w:color w:val="000000"/>
                <w:sz w:val="20"/>
                <w:lang w:eastAsia="zh-CN"/>
              </w:rPr>
              <w:t>512902284610324</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开 户 行</w:t>
            </w:r>
          </w:p>
        </w:tc>
        <w:tc>
          <w:tcPr>
            <w:tcW w:w="8643" w:type="dxa"/>
            <w:gridSpan w:val="11"/>
            <w:tcMar>
              <w:top w:w="0" w:type="dxa"/>
              <w:left w:w="0" w:type="dxa"/>
              <w:bottom w:w="0" w:type="dxa"/>
              <w:right w:w="0" w:type="dxa"/>
            </w:tcMar>
            <w:vAlign w:val="center"/>
          </w:tcPr>
          <w:p>
            <w:pPr>
              <w:jc w:val="center"/>
            </w:pPr>
            <w:r>
              <w:rPr>
                <w:rFonts w:hint="eastAsia" w:ascii="原版宋体" w:hAnsi="原版宋体" w:eastAsia="原版宋体" w:cs="原版宋体"/>
                <w:color w:val="000000"/>
                <w:sz w:val="20"/>
                <w:lang w:eastAsia="zh-CN"/>
              </w:rPr>
              <w:t>招商银行苏州分行营业部</w:t>
            </w:r>
          </w:p>
        </w:tc>
        <w:tc>
          <w:tcPr>
            <w:tcW w:w="800" w:type="dxa"/>
            <w:vAlign w:val="top"/>
          </w:tcPr>
          <w:p>
            <w:pPr>
              <w:pStyle w:val="4"/>
            </w:pPr>
          </w:p>
        </w:tc>
      </w:tr>
      <w:bookmarkEnd w:id="3"/>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pPr>
            <w:r>
              <w:rPr>
                <w:rFonts w:ascii="原版宋体" w:hAnsi="原版宋体" w:eastAsia="原版宋体" w:cs="原版宋体"/>
                <w:color w:val="000000"/>
                <w:sz w:val="20"/>
              </w:rPr>
              <w:t xml:space="preserve">    特此公告。</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jc w:val="right"/>
            </w:pPr>
            <w:r>
              <w:rPr>
                <w:rFonts w:ascii="原版宋体" w:hAnsi="原版宋体" w:eastAsia="原版宋体" w:cs="原版宋体"/>
                <w:color w:val="000000"/>
                <w:sz w:val="20"/>
              </w:rPr>
              <w:t>江苏常熟农村商业银行股份有限公司</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jc w:val="right"/>
            </w:pPr>
            <w:r>
              <w:rPr>
                <w:rFonts w:ascii="原版宋体" w:hAnsi="原版宋体" w:eastAsia="原版宋体" w:cs="原版宋体"/>
                <w:color w:val="000000"/>
                <w:sz w:val="20"/>
              </w:rPr>
              <w:t>2026年04月01日</w:t>
            </w:r>
          </w:p>
        </w:tc>
        <w:tc>
          <w:p>
            <w:pPr>
              <w:pStyle w:val="4"/>
            </w:pPr>
          </w:p>
        </w:tc>
      </w:tr>
    </w:tbl>
    <w:p/>
    <w:sectPr>
      <w:pgSz w:w="13900" w:h="16860"/>
      <w:pgMar w:top="800" w:right="1200" w:bottom="440" w:left="12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原版宋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ocumentProtection w:enforcement="0"/>
  <w:defaultTabStop w:val="800"/>
  <w:compat>
    <w:useFELayout/>
    <w:splitPgBreakAndParaMark/>
    <w:compatSetting w:name="compatibilityMode" w:uri="http://schemas.microsoft.com/office/word" w:val="12"/>
  </w:compat>
  <w:rsids>
    <w:rsidRoot w:val="00000000"/>
    <w:rsid w:val="19F10C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Office_11.8.2.11813_F1E327BC-269C-435d-A152-05C5408002CA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2026-04-02T06:37:34Z</dcterms:created>
  <dc:creator>n</dc:creator>
  <cp:lastModifiedBy>n</cp:lastModifiedBy>
  <dcterms:modified xsi:type="dcterms:W3CDTF">2026-04-02T06:37:57Z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4D32389004CA4DC8A2E3C222DB390BA8</vt:lpwstr>
  </property>
</Properties>
</file>