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323</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CLZX12MA323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392</w:t>
            </w:r>
            <w:bookmarkStart w:id="8" w:name="_GoBack"/>
            <w:bookmarkEnd w:id="8"/>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1.60%-2.60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31"/>
      <w:bookmarkStart w:id="1" w:name="_Toc37147666"/>
      <w:bookmarkStart w:id="2" w:name="_Toc24442816"/>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w:t>
      </w:r>
      <w:r>
        <w:rPr>
          <w:rFonts w:hint="eastAsia" w:ascii="楷体_GB2312" w:hAnsi="Times New Roman" w:eastAsia="楷体_GB2312"/>
          <w:lang w:eastAsia="zh-CN"/>
        </w:rPr>
        <w:t>商品型基金、</w:t>
      </w:r>
      <w:r>
        <w:rPr>
          <w:rFonts w:hint="eastAsia" w:ascii="楷体_GB2312" w:hAnsi="Times New Roman" w:eastAsia="楷体_GB2312"/>
        </w:rPr>
        <w:t>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w:t>
      </w:r>
      <w:r>
        <w:rPr>
          <w:rFonts w:hint="eastAsia" w:ascii="楷体_GB2312" w:hAnsi="Times New Roman" w:eastAsia="楷体_GB2312"/>
          <w:b/>
          <w:bCs/>
        </w:rPr>
        <w:t>0-20%</w:t>
      </w:r>
      <w:r>
        <w:rPr>
          <w:rFonts w:hint="eastAsia" w:ascii="楷体_GB2312" w:hAnsi="Times New Roman" w:eastAsia="楷体_GB2312"/>
          <w:b/>
          <w:bCs/>
          <w:lang w:eastAsia="zh-CN"/>
        </w:rPr>
        <w:t>，商品型基金及金融衍生品</w:t>
      </w:r>
      <w:r>
        <w:rPr>
          <w:rFonts w:hint="eastAsia" w:ascii="楷体_GB2312" w:hAnsi="Times New Roman" w:eastAsia="楷体_GB2312"/>
          <w:b/>
          <w:bCs/>
          <w:lang w:val="en-US" w:eastAsia="zh-CN"/>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w:t>
      </w:r>
      <w:r>
        <w:rPr>
          <w:rFonts w:hint="eastAsia" w:ascii="Times New Roman" w:hAnsi="Times New Roman" w:eastAsia="楷体_GB2312"/>
          <w:lang w:eastAsia="zh-CN"/>
        </w:rPr>
        <w:t>商品</w:t>
      </w:r>
      <w:r>
        <w:rPr>
          <w:rFonts w:hint="eastAsia" w:ascii="Times New Roman" w:hAnsi="Times New Roman" w:eastAsia="楷体_GB2312"/>
          <w:lang w:val="en-US" w:eastAsia="zh-CN"/>
        </w:rPr>
        <w:t>型</w:t>
      </w:r>
      <w:r>
        <w:rPr>
          <w:rFonts w:hint="eastAsia" w:ascii="Times New Roman" w:hAnsi="Times New Roman" w:eastAsia="楷体_GB2312"/>
          <w:lang w:eastAsia="zh-CN"/>
        </w:rPr>
        <w:t>基金。</w:t>
      </w:r>
      <w:r>
        <w:rPr>
          <w:rFonts w:hint="eastAsia" w:ascii="Times New Roman" w:hAnsi="Times New Roman" w:eastAsia="楷体_GB2312"/>
        </w:rPr>
        <w:t>商品</w:t>
      </w:r>
      <w:r>
        <w:rPr>
          <w:rFonts w:hint="eastAsia" w:ascii="Times New Roman" w:hAnsi="Times New Roman" w:eastAsia="楷体_GB2312"/>
          <w:lang w:val="en-US" w:eastAsia="zh-CN"/>
        </w:rPr>
        <w:t>型</w:t>
      </w:r>
      <w:r>
        <w:rPr>
          <w:rFonts w:hint="eastAsia" w:ascii="Times New Roman" w:hAnsi="Times New Roman" w:eastAsia="楷体_GB2312"/>
        </w:rPr>
        <w:t>资产的价格受多重因素综合影响，具有高波动性的特点。主要影响因素包括：全球宏观经济的景气度与通胀预期，经济增速和货币政策，国际地缘政治局势与贸易政策的变化，汇率波动以及自然因素，如极端天气、自然灾害或疫情</w:t>
      </w:r>
      <w:r>
        <w:rPr>
          <w:rFonts w:hint="eastAsia" w:ascii="Times New Roman" w:hAnsi="Times New Roman" w:eastAsia="楷体_GB2312"/>
          <w:lang w:eastAsia="zh-CN"/>
        </w:rPr>
        <w:t>。</w:t>
      </w:r>
      <w:r>
        <w:rPr>
          <w:rFonts w:hint="eastAsia" w:ascii="Times New Roman" w:hAnsi="Times New Roman" w:eastAsia="楷体_GB2312"/>
        </w:rPr>
        <w:t>此外，市场投机行为、投资者情绪及技术性交易也会加剧价格的短期剧烈震荡。上述因素可能导致商品价格波动，进而直接影响本产品净值。</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95"/>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C6039"/>
    <w:rsid w:val="04EF11D6"/>
    <w:rsid w:val="05066B4B"/>
    <w:rsid w:val="053B19FF"/>
    <w:rsid w:val="053C7261"/>
    <w:rsid w:val="05592B90"/>
    <w:rsid w:val="05711A7E"/>
    <w:rsid w:val="058C00A9"/>
    <w:rsid w:val="05B437EC"/>
    <w:rsid w:val="05C66F89"/>
    <w:rsid w:val="05F2584F"/>
    <w:rsid w:val="06187C8D"/>
    <w:rsid w:val="06420131"/>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B33417"/>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5044A88"/>
    <w:rsid w:val="15150000"/>
    <w:rsid w:val="15354AC9"/>
    <w:rsid w:val="15584512"/>
    <w:rsid w:val="15596EC0"/>
    <w:rsid w:val="15DB1361"/>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133FEC"/>
    <w:rsid w:val="305B7C64"/>
    <w:rsid w:val="30797214"/>
    <w:rsid w:val="309E19D2"/>
    <w:rsid w:val="30B519B1"/>
    <w:rsid w:val="30E65649"/>
    <w:rsid w:val="31470E79"/>
    <w:rsid w:val="31534978"/>
    <w:rsid w:val="315658FD"/>
    <w:rsid w:val="316C6324"/>
    <w:rsid w:val="31BB30A3"/>
    <w:rsid w:val="31C32B6D"/>
    <w:rsid w:val="320831A2"/>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07722"/>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073823"/>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4508B0"/>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480B91"/>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F1171A"/>
    <w:rsid w:val="6AF44007"/>
    <w:rsid w:val="6B090729"/>
    <w:rsid w:val="6B0F11E2"/>
    <w:rsid w:val="6B9E1735"/>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784236"/>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B2349F"/>
    <w:rsid w:val="73C31BFC"/>
    <w:rsid w:val="73CD470A"/>
    <w:rsid w:val="73D8631E"/>
    <w:rsid w:val="73F80DD1"/>
    <w:rsid w:val="7457466E"/>
    <w:rsid w:val="746314A2"/>
    <w:rsid w:val="74694588"/>
    <w:rsid w:val="74713695"/>
    <w:rsid w:val="74C04F97"/>
    <w:rsid w:val="74D12A3C"/>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695915"/>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0</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2026-04-07T03:20:06Z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0C4D8F0C343D4E9ABCFCCF3B8B8B4778</vt:lpwstr>
  </property>
</Properties>
</file>