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235</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w:t>
            </w:r>
            <w:bookmarkStart w:id="8" w:name="_GoBack"/>
            <w:bookmarkEnd w:id="8"/>
            <w:r>
              <w:rPr>
                <w:rFonts w:hint="eastAsia" w:ascii="宋体" w:hAnsi="宋体" w:eastAsia="宋体" w:cs="宋体"/>
                <w:color w:val="000000"/>
                <w:kern w:val="0"/>
                <w:sz w:val="24"/>
                <w:szCs w:val="24"/>
              </w:rPr>
              <w:t>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0.55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2.05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2025-08-18T06:10:37Z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