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sz w:val="36"/>
        </w:rPr>
      </w:pPr>
      <w:r>
        <w:rPr>
          <w:rFonts w:hint="eastAsia" w:ascii="宋体" w:hAnsi="宋体" w:eastAsia="宋体" w:cs="宋体"/>
          <w:b/>
          <w:sz w:val="36"/>
        </w:rPr>
        <w:t>常乐</w:t>
      </w:r>
      <w:r>
        <w:rPr>
          <w:rFonts w:hint="eastAsia" w:ascii="宋体" w:hAnsi="宋体" w:cs="宋体"/>
          <w:b/>
          <w:sz w:val="36"/>
          <w:lang w:eastAsia="zh-CN"/>
        </w:rPr>
        <w:t>智享一年期</w:t>
      </w:r>
      <w:r>
        <w:rPr>
          <w:rFonts w:hint="eastAsia" w:ascii="宋体" w:hAnsi="宋体" w:cs="宋体"/>
          <w:b/>
          <w:sz w:val="36"/>
          <w:lang w:val="en-US" w:eastAsia="zh-CN"/>
        </w:rPr>
        <w:t>A款</w:t>
      </w:r>
      <w:r>
        <w:rPr>
          <w:rFonts w:hint="eastAsia" w:ascii="宋体" w:hAnsi="宋体" w:eastAsia="宋体" w:cs="宋体"/>
          <w:b/>
          <w:sz w:val="36"/>
        </w:rPr>
        <w:t>净值型</w:t>
      </w:r>
      <w:r>
        <w:rPr>
          <w:rFonts w:hint="eastAsia" w:ascii="方正大标宋简体" w:hAnsi="宋体" w:eastAsia="方正大标宋简体"/>
          <w:b/>
          <w:sz w:val="36"/>
          <w:szCs w:val="36"/>
        </w:rPr>
        <w:t>人民币</w:t>
      </w:r>
      <w:r>
        <w:rPr>
          <w:rFonts w:hint="eastAsia" w:ascii="宋体" w:hAnsi="宋体" w:eastAsia="宋体" w:cs="宋体"/>
          <w:b/>
          <w:sz w:val="36"/>
        </w:rPr>
        <w:t>理财产品</w:t>
      </w:r>
    </w:p>
    <w:p>
      <w:pPr>
        <w:jc w:val="center"/>
        <w:rPr>
          <w:rFonts w:ascii="宋体" w:hAnsi="宋体" w:eastAsia="宋体" w:cs="宋体"/>
          <w:b/>
          <w:kern w:val="0"/>
          <w:sz w:val="32"/>
          <w:szCs w:val="32"/>
        </w:rPr>
      </w:pPr>
      <w:r>
        <w:rPr>
          <w:rFonts w:hint="eastAsia" w:ascii="宋体" w:hAnsi="宋体" w:eastAsia="宋体" w:cs="宋体"/>
          <w:b/>
          <w:sz w:val="36"/>
        </w:rPr>
        <w:t>开放申购要素表</w:t>
      </w:r>
    </w:p>
    <w:tbl>
      <w:tblPr>
        <w:tblStyle w:val="9"/>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u w:val="none"/>
              </w:rPr>
            </w:pPr>
            <w:r>
              <w:rPr>
                <w:rFonts w:hint="eastAsia" w:ascii="宋体" w:hAnsi="宋体" w:cs="宋体"/>
                <w:sz w:val="24"/>
                <w:szCs w:val="24"/>
                <w:u w:val="none"/>
                <w:lang w:eastAsia="zh-CN"/>
              </w:rPr>
              <w:t>常乐智享一年期A款</w:t>
            </w:r>
            <w:r>
              <w:rPr>
                <w:rFonts w:hint="eastAsia" w:ascii="宋体" w:hAnsi="宋体" w:eastAsia="宋体" w:cs="宋体"/>
                <w:sz w:val="24"/>
                <w:szCs w:val="24"/>
                <w:u w:val="none"/>
              </w:rPr>
              <w:t>-</w:t>
            </w:r>
            <w:r>
              <w:rPr>
                <w:rFonts w:hint="eastAsia" w:ascii="宋体" w:hAnsi="宋体" w:cs="宋体"/>
                <w:sz w:val="24"/>
                <w:szCs w:val="24"/>
                <w:u w:val="none"/>
                <w:lang w:val="en-US" w:eastAsia="zh-CN"/>
              </w:rPr>
              <w:t>250</w:t>
            </w:r>
            <w:r>
              <w:rPr>
                <w:rFonts w:hint="eastAsia" w:ascii="宋体" w:hAnsi="宋体" w:eastAsia="宋体" w:cs="宋体"/>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cs="宋体"/>
                <w:kern w:val="0"/>
                <w:sz w:val="24"/>
                <w:szCs w:val="24"/>
                <w:u w:val="none"/>
                <w:lang w:val="en-US" w:eastAsia="zh-CN"/>
              </w:rPr>
            </w:pPr>
            <w:r>
              <w:rPr>
                <w:rFonts w:hint="eastAsia" w:ascii="宋体" w:hAnsi="宋体" w:cs="宋体"/>
                <w:kern w:val="0"/>
                <w:sz w:val="24"/>
                <w:szCs w:val="24"/>
                <w:u w:val="none"/>
                <w:lang w:val="en-US" w:eastAsia="zh-CN"/>
              </w:rPr>
              <w:t>CLZX12MA250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02</w:t>
            </w:r>
            <w:r>
              <w:rPr>
                <w:rFonts w:hint="eastAsia"/>
                <w:color w:val="000000"/>
                <w:sz w:val="22"/>
                <w:szCs w:val="22"/>
                <w:u w:val="none"/>
              </w:rPr>
              <w:t>月</w:t>
            </w:r>
            <w:r>
              <w:rPr>
                <w:rFonts w:hint="eastAsia"/>
                <w:color w:val="000000"/>
                <w:sz w:val="22"/>
                <w:szCs w:val="22"/>
                <w:u w:val="none"/>
                <w:lang w:val="en-US" w:eastAsia="zh-CN"/>
              </w:rPr>
              <w:t>26</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03</w:t>
            </w:r>
            <w:r>
              <w:rPr>
                <w:rFonts w:hint="eastAsia"/>
                <w:color w:val="000000"/>
                <w:sz w:val="22"/>
                <w:szCs w:val="22"/>
                <w:u w:val="none"/>
              </w:rPr>
              <w:t>月</w:t>
            </w:r>
            <w:r>
              <w:rPr>
                <w:rFonts w:hint="eastAsia"/>
                <w:color w:val="000000"/>
                <w:sz w:val="22"/>
                <w:szCs w:val="22"/>
                <w:u w:val="none"/>
                <w:lang w:val="en-US" w:eastAsia="zh-CN"/>
              </w:rPr>
              <w:t>04</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03</w:t>
            </w:r>
            <w:r>
              <w:rPr>
                <w:rFonts w:hint="eastAsia"/>
                <w:color w:val="000000"/>
                <w:sz w:val="22"/>
                <w:szCs w:val="22"/>
                <w:u w:val="none"/>
              </w:rPr>
              <w:t>月</w:t>
            </w:r>
            <w:r>
              <w:rPr>
                <w:rFonts w:hint="eastAsia"/>
                <w:color w:val="000000"/>
                <w:sz w:val="22"/>
                <w:szCs w:val="22"/>
                <w:u w:val="none"/>
                <w:lang w:val="en-US" w:eastAsia="zh-CN"/>
              </w:rPr>
              <w:t>05日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2026</w:t>
            </w:r>
            <w:r>
              <w:rPr>
                <w:rFonts w:hint="eastAsia"/>
                <w:color w:val="000000"/>
                <w:sz w:val="22"/>
                <w:szCs w:val="22"/>
                <w:u w:val="none"/>
              </w:rPr>
              <w:t>年</w:t>
            </w:r>
            <w:r>
              <w:rPr>
                <w:rFonts w:hint="eastAsia"/>
                <w:color w:val="000000"/>
                <w:sz w:val="22"/>
                <w:szCs w:val="22"/>
                <w:u w:val="none"/>
                <w:lang w:val="en-US" w:eastAsia="zh-CN"/>
              </w:rPr>
              <w:t>04</w:t>
            </w:r>
            <w:r>
              <w:rPr>
                <w:rFonts w:hint="eastAsia"/>
                <w:color w:val="000000"/>
                <w:sz w:val="22"/>
                <w:szCs w:val="22"/>
                <w:u w:val="none"/>
              </w:rPr>
              <w:t>月</w:t>
            </w:r>
            <w:r>
              <w:rPr>
                <w:rFonts w:hint="eastAsia"/>
                <w:color w:val="000000"/>
                <w:sz w:val="22"/>
                <w:szCs w:val="22"/>
                <w:u w:val="none"/>
                <w:lang w:val="en-US" w:eastAsia="zh-CN"/>
              </w:rPr>
              <w:t>01</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392</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rPr>
            </w:pPr>
            <w:r>
              <w:rPr>
                <w:rFonts w:hint="eastAsia" w:ascii="宋体" w:hAnsi="宋体" w:eastAsia="宋体" w:cs="宋体"/>
                <w:kern w:val="0"/>
                <w:sz w:val="24"/>
                <w:szCs w:val="24"/>
              </w:rPr>
              <w:t>1万元人民币，以1000元的整数倍递增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color w:val="000000"/>
                <w:kern w:val="0"/>
                <w:sz w:val="24"/>
                <w:szCs w:val="24"/>
                <w:lang w:eastAsia="zh-CN"/>
              </w:rPr>
            </w:pPr>
            <w:r>
              <w:rPr>
                <w:rFonts w:ascii="宋体" w:hAnsi="宋体" w:cs="宋体"/>
                <w:color w:val="000000"/>
                <w:kern w:val="0"/>
                <w:sz w:val="24"/>
                <w:szCs w:val="24"/>
                <w:u w:val="none"/>
              </w:rPr>
              <w:t>人民银行一年期定期存款利率（1.50%）+</w:t>
            </w:r>
            <w:r>
              <w:rPr>
                <w:rFonts w:hint="eastAsia" w:ascii="宋体" w:hAnsi="宋体" w:cs="宋体"/>
                <w:color w:val="000000"/>
                <w:kern w:val="0"/>
                <w:sz w:val="24"/>
                <w:szCs w:val="24"/>
                <w:u w:val="none"/>
                <w:lang w:val="en-US" w:eastAsia="zh-CN"/>
              </w:rPr>
              <w:t>0.80</w:t>
            </w:r>
            <w:r>
              <w:rPr>
                <w:rFonts w:ascii="宋体" w:hAnsi="宋体" w:cs="宋体"/>
                <w:color w:val="000000"/>
                <w:kern w:val="0"/>
                <w:sz w:val="24"/>
                <w:szCs w:val="24"/>
                <w:u w:val="none"/>
              </w:rPr>
              <w:t>%,</w:t>
            </w:r>
            <w:r>
              <w:rPr>
                <w:rFonts w:hint="eastAsia" w:ascii="宋体" w:hAnsi="宋体" w:cs="宋体"/>
                <w:color w:val="000000"/>
                <w:kern w:val="0"/>
                <w:sz w:val="24"/>
                <w:szCs w:val="24"/>
                <w:u w:val="none"/>
              </w:rPr>
              <w:t>即</w:t>
            </w:r>
            <w:r>
              <w:rPr>
                <w:rFonts w:ascii="宋体" w:hAnsi="宋体" w:cs="宋体"/>
                <w:color w:val="000000"/>
                <w:kern w:val="0"/>
                <w:sz w:val="24"/>
                <w:szCs w:val="24"/>
                <w:u w:val="none"/>
              </w:rPr>
              <w:fldChar w:fldCharType="begin"/>
            </w:r>
            <w:r>
              <w:rPr>
                <w:rFonts w:ascii="宋体" w:hAnsi="宋体" w:cs="宋体"/>
                <w:color w:val="000000"/>
                <w:kern w:val="0"/>
                <w:sz w:val="24"/>
                <w:szCs w:val="24"/>
                <w:u w:val="none"/>
              </w:rPr>
              <w:instrText xml:space="preserve">  DOCVARIABLE Sherry</w:instrText>
            </w:r>
            <w:r>
              <w:rPr>
                <w:rFonts w:hint="eastAsia" w:ascii="宋体" w:hAnsi="宋体" w:cs="宋体"/>
                <w:color w:val="000000"/>
                <w:kern w:val="0"/>
                <w:sz w:val="24"/>
                <w:szCs w:val="24"/>
                <w:u w:val="none"/>
              </w:rPr>
              <w:instrText xml:space="preserve">8</w:instrText>
            </w:r>
            <w:r>
              <w:rPr>
                <w:rFonts w:ascii="宋体" w:hAnsi="宋体" w:cs="宋体"/>
                <w:color w:val="000000"/>
                <w:kern w:val="0"/>
                <w:sz w:val="24"/>
                <w:szCs w:val="24"/>
                <w:u w:val="none"/>
              </w:rPr>
              <w:fldChar w:fldCharType="separate"/>
            </w:r>
            <w:r>
              <w:rPr>
                <w:rFonts w:hint="eastAsia" w:ascii="宋体" w:hAnsi="宋体" w:cs="宋体"/>
                <w:color w:val="000000"/>
                <w:kern w:val="0"/>
                <w:sz w:val="24"/>
                <w:szCs w:val="24"/>
                <w:u w:val="none"/>
                <w:lang w:val="en-US" w:eastAsia="zh-CN"/>
              </w:rPr>
              <w:t>2.30</w:t>
            </w:r>
            <w:r>
              <w:rPr>
                <w:rFonts w:ascii="宋体" w:hAnsi="宋体" w:cs="宋体"/>
                <w:color w:val="000000"/>
                <w:kern w:val="0"/>
                <w:sz w:val="24"/>
                <w:szCs w:val="24"/>
                <w:u w:val="none"/>
              </w:rPr>
              <w:t>%</w:t>
            </w:r>
            <w:r>
              <w:rPr>
                <w:rFonts w:ascii="宋体" w:hAnsi="宋体" w:cs="宋体"/>
                <w:color w:val="000000"/>
                <w:kern w:val="0"/>
                <w:sz w:val="24"/>
                <w:szCs w:val="24"/>
                <w:u w:val="none"/>
              </w:rPr>
              <w:fldChar w:fldCharType="end"/>
            </w:r>
            <w:r>
              <w:rPr>
                <w:rFonts w:hint="eastAsia" w:ascii="宋体" w:hAnsi="宋体" w:cs="宋体"/>
                <w:color w:val="000000"/>
                <w:kern w:val="0"/>
                <w:sz w:val="24"/>
                <w:szCs w:val="24"/>
                <w:lang w:eastAsia="zh-CN"/>
              </w:rPr>
              <w:t>。</w:t>
            </w:r>
          </w:p>
        </w:tc>
      </w:tr>
    </w:tbl>
    <w:p>
      <w:pPr>
        <w:jc w:val="center"/>
        <w:rPr>
          <w:rFonts w:ascii="宋体" w:hAnsi="宋体" w:eastAsia="宋体" w:cs="宋体"/>
          <w:b/>
          <w:color w:val="000000"/>
        </w:rPr>
      </w:pPr>
    </w:p>
    <w:p>
      <w:pPr>
        <w:jc w:val="left"/>
        <w:rPr>
          <w:rFonts w:ascii="宋体" w:hAnsi="宋体" w:eastAsia="宋体" w:cs="宋体"/>
          <w:b/>
          <w:bCs/>
          <w:color w:val="000000"/>
          <w:kern w:val="0"/>
          <w:sz w:val="15"/>
          <w:szCs w:val="15"/>
        </w:rPr>
      </w:pPr>
      <w:r>
        <w:rPr>
          <w:rFonts w:hint="eastAsia" w:ascii="宋体" w:hAnsi="宋体" w:eastAsia="宋体" w:cs="宋体"/>
          <w:b/>
          <w:bCs/>
          <w:color w:val="000000"/>
          <w:kern w:val="0"/>
          <w:sz w:val="15"/>
          <w:szCs w:val="15"/>
        </w:rPr>
        <w:t>特别提示：</w:t>
      </w:r>
      <w:bookmarkStart w:id="8" w:name="_GoBack"/>
      <w:bookmarkEnd w:id="8"/>
    </w:p>
    <w:p>
      <w:pPr>
        <w:ind w:firstLine="300" w:firstLineChars="200"/>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1. 本产品开放申购要素表为理财产品说明书不可分割的组成部分。</w:t>
      </w:r>
    </w:p>
    <w:p>
      <w:pPr>
        <w:ind w:firstLine="301" w:firstLineChars="200"/>
        <w:jc w:val="left"/>
        <w:rPr>
          <w:rFonts w:hint="eastAsia" w:ascii="宋体" w:hAnsi="宋体" w:eastAsia="宋体" w:cs="宋体"/>
          <w:b/>
          <w:bCs/>
          <w:color w:val="000000"/>
          <w:kern w:val="0"/>
          <w:sz w:val="15"/>
          <w:szCs w:val="15"/>
        </w:rPr>
      </w:pPr>
      <w:r>
        <w:rPr>
          <w:rFonts w:hint="eastAsia" w:ascii="宋体" w:hAnsi="宋体" w:eastAsia="宋体" w:cs="宋体"/>
          <w:b/>
          <w:bCs/>
          <w:color w:val="000000"/>
          <w:kern w:val="0"/>
          <w:sz w:val="15"/>
          <w:szCs w:val="15"/>
        </w:rPr>
        <w:t>2. 本要素表中公告的业绩比较基准仅代表当期投资周期，不同投资周期的业绩比较基准可能会发生调整，特提醒投资者关注。</w:t>
      </w:r>
    </w:p>
    <w:p>
      <w:pPr>
        <w:ind w:firstLine="301" w:firstLineChars="200"/>
        <w:jc w:val="left"/>
        <w:rPr>
          <w:rFonts w:hint="eastAsia" w:ascii="宋体" w:hAnsi="宋体" w:eastAsia="宋体" w:cs="宋体"/>
          <w:b/>
          <w:bCs/>
          <w:kern w:val="0"/>
          <w:sz w:val="15"/>
          <w:szCs w:val="15"/>
        </w:rPr>
      </w:pPr>
      <w:r>
        <w:rPr>
          <w:rFonts w:hint="eastAsia" w:ascii="宋体" w:hAnsi="宋体" w:cs="宋体"/>
          <w:b/>
          <w:bCs/>
          <w:color w:val="000000"/>
          <w:kern w:val="0"/>
          <w:sz w:val="15"/>
          <w:szCs w:val="15"/>
          <w:lang w:val="en-US" w:eastAsia="zh-CN"/>
        </w:rPr>
        <w:t>3.</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由产品管理人依据理财产品的投资范围及比例、投资策略，并综合考量市场环境等因素测算</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仅供投资者参考，具体测算依据详见产品说明书中第一部分产品基本要素中有关业绩比较基准的说明。</w:t>
      </w:r>
      <w:r>
        <w:rPr>
          <w:rFonts w:hint="eastAsia" w:ascii="宋体" w:hAnsi="宋体" w:cs="宋体"/>
          <w:b/>
          <w:bCs/>
          <w:color w:val="000000"/>
          <w:kern w:val="0"/>
          <w:sz w:val="15"/>
          <w:szCs w:val="15"/>
          <w:lang w:val="en-US" w:eastAsia="zh-CN"/>
        </w:rPr>
        <w:t>本产品</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000000"/>
          <w:kern w:val="0"/>
          <w:sz w:val="15"/>
          <w:szCs w:val="15"/>
        </w:rPr>
        <w:t>，不构成</w:t>
      </w:r>
      <w:r>
        <w:rPr>
          <w:rFonts w:hint="eastAsia" w:ascii="宋体" w:hAnsi="宋体" w:cs="宋体"/>
          <w:b/>
          <w:bCs/>
          <w:color w:val="000000"/>
          <w:kern w:val="0"/>
          <w:sz w:val="15"/>
          <w:szCs w:val="15"/>
          <w:lang w:val="en-US" w:eastAsia="zh-CN"/>
        </w:rPr>
        <w:t>常熟农商银行</w:t>
      </w:r>
      <w:r>
        <w:rPr>
          <w:rFonts w:hint="eastAsia" w:ascii="宋体" w:hAnsi="宋体" w:cs="宋体"/>
          <w:b/>
          <w:bCs/>
          <w:color w:val="000000"/>
          <w:kern w:val="0"/>
          <w:sz w:val="15"/>
          <w:szCs w:val="15"/>
        </w:rPr>
        <w:t>对</w:t>
      </w:r>
      <w:r>
        <w:rPr>
          <w:rFonts w:hint="eastAsia" w:ascii="宋体" w:hAnsi="宋体" w:cs="宋体"/>
          <w:b/>
          <w:bCs/>
          <w:color w:val="000000"/>
          <w:kern w:val="0"/>
          <w:sz w:val="15"/>
          <w:szCs w:val="15"/>
          <w:lang w:val="en-US" w:eastAsia="zh-CN"/>
        </w:rPr>
        <w:t>本理财</w:t>
      </w:r>
      <w:r>
        <w:rPr>
          <w:rFonts w:hint="eastAsia" w:ascii="宋体" w:hAnsi="宋体" w:cs="宋体"/>
          <w:b/>
          <w:bCs/>
          <w:color w:val="000000"/>
          <w:kern w:val="0"/>
          <w:sz w:val="15"/>
          <w:szCs w:val="15"/>
        </w:rPr>
        <w:t>产品</w:t>
      </w:r>
      <w:r>
        <w:rPr>
          <w:rFonts w:hint="eastAsia" w:ascii="宋体" w:hAnsi="宋体" w:cs="宋体"/>
          <w:b/>
          <w:bCs/>
          <w:color w:val="000000"/>
          <w:kern w:val="0"/>
          <w:sz w:val="15"/>
          <w:szCs w:val="15"/>
          <w:lang w:val="en-US" w:eastAsia="zh-CN"/>
        </w:rPr>
        <w:t>投资收益</w:t>
      </w:r>
      <w:r>
        <w:rPr>
          <w:rFonts w:hint="eastAsia" w:ascii="宋体" w:hAnsi="宋体" w:cs="宋体"/>
          <w:b/>
          <w:bCs/>
          <w:color w:val="000000"/>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kern w:val="0"/>
          <w:sz w:val="15"/>
          <w:szCs w:val="15"/>
        </w:rPr>
      </w:pPr>
      <w:r>
        <w:rPr>
          <w:rFonts w:hint="eastAsia" w:ascii="宋体" w:hAnsi="宋体" w:cs="宋体"/>
          <w:b/>
          <w:bCs/>
          <w:kern w:val="0"/>
          <w:sz w:val="15"/>
          <w:szCs w:val="15"/>
          <w:lang w:val="en-US" w:eastAsia="zh-CN"/>
        </w:rPr>
        <w:t>4</w:t>
      </w:r>
      <w:r>
        <w:rPr>
          <w:rFonts w:hint="eastAsia" w:ascii="宋体" w:hAnsi="宋体" w:eastAsia="宋体" w:cs="宋体"/>
          <w:b/>
          <w:bCs/>
          <w:kern w:val="0"/>
          <w:sz w:val="15"/>
          <w:szCs w:val="15"/>
        </w:rPr>
        <w:t>. 本产品为非保本</w:t>
      </w:r>
      <w:r>
        <w:rPr>
          <w:rFonts w:hint="eastAsia" w:ascii="宋体" w:hAnsi="宋体" w:cs="宋体"/>
          <w:b/>
          <w:bCs/>
          <w:kern w:val="0"/>
          <w:sz w:val="15"/>
          <w:szCs w:val="15"/>
          <w:lang w:eastAsia="zh-CN"/>
        </w:rPr>
        <w:t>净值型</w:t>
      </w:r>
      <w:r>
        <w:rPr>
          <w:rFonts w:hint="eastAsia" w:ascii="宋体" w:hAnsi="宋体" w:eastAsia="宋体" w:cs="宋体"/>
          <w:b/>
          <w:bCs/>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ascii="宋体" w:hAnsi="宋体" w:eastAsia="宋体" w:cs="宋体"/>
          <w:kern w:val="0"/>
          <w:sz w:val="15"/>
          <w:szCs w:val="15"/>
        </w:rPr>
      </w:pPr>
      <w:r>
        <w:rPr>
          <w:rFonts w:hint="eastAsia" w:ascii="宋体" w:hAnsi="宋体" w:cs="宋体"/>
          <w:kern w:val="0"/>
          <w:sz w:val="15"/>
          <w:szCs w:val="15"/>
          <w:lang w:val="en-US" w:eastAsia="zh-CN"/>
        </w:rPr>
        <w:t>5</w:t>
      </w:r>
      <w:r>
        <w:rPr>
          <w:rFonts w:hint="eastAsia" w:ascii="宋体" w:hAnsi="宋体" w:eastAsia="宋体" w:cs="宋体"/>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kern w:val="0"/>
          <w:sz w:val="15"/>
          <w:szCs w:val="15"/>
          <w:lang w:val="en-US" w:eastAsia="zh-CN"/>
        </w:rPr>
      </w:pPr>
      <w:r>
        <w:rPr>
          <w:rFonts w:hint="eastAsia" w:ascii="宋体" w:hAnsi="宋体" w:cs="宋体"/>
          <w:b/>
          <w:bCs/>
          <w:kern w:val="0"/>
          <w:sz w:val="15"/>
          <w:szCs w:val="15"/>
          <w:lang w:val="en-US" w:eastAsia="zh-CN"/>
        </w:rPr>
        <w:t>6.该产品通过代理销售机构渠道销售的，理财产品评级应当以代理销售机构最终披露的评级结果为准。</w:t>
      </w: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snapToGrid w:val="0"/>
        <w:spacing w:beforeLines="50" w:line="480" w:lineRule="exact"/>
        <w:rPr>
          <w:rFonts w:ascii="方正大标宋简体" w:hAnsi="宋体" w:eastAsia="方正大标宋简体"/>
          <w:b/>
          <w:sz w:val="36"/>
        </w:rPr>
      </w:pPr>
    </w:p>
    <w:p>
      <w:pPr>
        <w:snapToGrid w:val="0"/>
        <w:spacing w:beforeLines="50" w:line="480" w:lineRule="exact"/>
        <w:rPr>
          <w:rFonts w:ascii="方正大标宋简体" w:hAnsi="宋体" w:eastAsia="方正大标宋简体"/>
          <w:b/>
          <w:sz w:val="36"/>
        </w:rPr>
      </w:pPr>
      <w:r>
        <w:rPr>
          <w:rFonts w:ascii="Calibri" w:hAnsi="Calibri" w:eastAsia="宋体" w:cs="Times New Roman"/>
          <w:kern w:val="2"/>
          <w:sz w:val="21"/>
          <w:lang w:val="en-US" w:eastAsia="zh-CN" w:bidi="ar-SA"/>
        </w:rPr>
        <mc:AlternateContent>
          <mc:Choice Requires="wps">
            <w:drawing>
              <wp:anchor distT="0" distB="0" distL="114300" distR="114300" simplePos="0" relativeHeight="251658240" behindDoc="0" locked="0" layoutInCell="1" allowOverlap="1">
                <wp:simplePos x="0" y="0"/>
                <wp:positionH relativeFrom="column">
                  <wp:posOffset>747395</wp:posOffset>
                </wp:positionH>
                <wp:positionV relativeFrom="paragraph">
                  <wp:posOffset>13335</wp:posOffset>
                </wp:positionV>
                <wp:extent cx="3743960" cy="496570"/>
                <wp:effectExtent l="4445" t="5080" r="23495" b="12700"/>
                <wp:wrapNone/>
                <wp:docPr id="1" name="矩形 17"/>
                <wp:cNvGraphicFramePr/>
                <a:graphic xmlns:a="http://schemas.openxmlformats.org/drawingml/2006/main">
                  <a:graphicData uri="http://schemas.microsoft.com/office/word/2010/wordprocessingShape">
                    <wps:wsp>
                      <wps:cNvSpPr/>
                      <wps:spPr>
                        <a:xfrm>
                          <a:off x="0" y="0"/>
                          <a:ext cx="3743960" cy="496570"/>
                        </a:xfrm>
                        <a:prstGeom prst="rect">
                          <a:avLst/>
                        </a:prstGeom>
                        <a:gradFill rotWithShape="0">
                          <a:gsLst>
                            <a:gs pos="0">
                              <a:srgbClr val="FFFFFF">
                                <a:alpha val="100000"/>
                              </a:srgbClr>
                            </a:gs>
                            <a:gs pos="100000">
                              <a:srgbClr val="FFFFFF">
                                <a:alpha val="100000"/>
                              </a:srgbClr>
                            </a:gs>
                          </a:gsLst>
                          <a:lin ang="0" scaled="1"/>
                          <a:tileRect/>
                        </a:gradFill>
                        <a:ln w="9525" cap="flat" cmpd="sng">
                          <a:solidFill>
                            <a:srgbClr val="000000"/>
                          </a:solidFill>
                          <a:prstDash val="solid"/>
                          <a:miter/>
                          <a:headEnd type="none" w="med" len="med"/>
                          <a:tailEnd type="none" w="med" len="med"/>
                        </a:ln>
                      </wps:spPr>
                      <wps:txbx>
                        <w:txbxContent>
                          <w:p>
                            <w:r>
                              <w:rPr>
                                <w:rFonts w:hint="eastAsia" w:ascii="仿宋_GB2312" w:hAnsi="Arial" w:eastAsia="仿宋_GB2312" w:cs="Arial"/>
                                <w:b/>
                                <w:sz w:val="32"/>
                                <w:szCs w:val="32"/>
                              </w:rPr>
                              <w:t>理财非存款、产品有风险、投资须谨慎！</w:t>
                            </w:r>
                          </w:p>
                        </w:txbxContent>
                      </wps:txbx>
                      <wps:bodyPr upright="1"/>
                    </wps:wsp>
                  </a:graphicData>
                </a:graphic>
              </wp:anchor>
            </w:drawing>
          </mc:Choice>
          <mc:Fallback>
            <w:pict>
              <v:rect id="矩形 17" o:spid="_x0000_s1026" o:spt="1" style="position:absolute;left:0pt;margin-left:58.85pt;margin-top:1.05pt;height:39.1pt;width:294.8pt;z-index:251658240;mso-width-relative:page;mso-height-relative:page;" fillcolor="#FFFFFF" filled="t" stroked="t" coordsize="21600,21600" o:gfxdata="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KMrR51gAAAAgBAAAPAAAAAAAAAAEAIAAAACIAAABkcnMvZG93bnJldi54&#10;bWxQSwECFAAUAAAACACHTuJAD0QoQDUCAACyBAAADgAAAAAAAAABACAAAAAlAQAAZHJzL2Uyb0Rv&#10;Yy54bWxQSwUGAAAAAAYABgBZAQAAzAUAAAAA&#10;">
                <v:fill type="gradient" on="t" color2="#FFFFFF" angle="90" focus="100%" focussize="0,0"/>
                <v:stroke color="#000000" joinstyle="miter"/>
                <v:imagedata o:title=""/>
                <o:lock v:ext="edit" aspectratio="f"/>
                <v:textbox>
                  <w:txbxContent>
                    <w:p>
                      <w:r>
                        <w:rPr>
                          <w:rFonts w:hint="eastAsia" w:ascii="仿宋_GB2312" w:hAnsi="Arial" w:eastAsia="仿宋_GB2312" w:cs="Arial"/>
                          <w:b/>
                          <w:sz w:val="32"/>
                          <w:szCs w:val="32"/>
                        </w:rPr>
                        <w:t>理财非存款、产品有风险、投资须谨慎！</w:t>
                      </w:r>
                    </w:p>
                  </w:txbxContent>
                </v:textbox>
              </v:rect>
            </w:pict>
          </mc:Fallback>
        </mc:AlternateContent>
      </w:r>
    </w:p>
    <w:p>
      <w:pPr>
        <w:snapToGrid w:val="0"/>
        <w:spacing w:beforeLines="50" w:line="480" w:lineRule="exact"/>
        <w:jc w:val="center"/>
        <w:rPr>
          <w:rFonts w:ascii="方正大标宋简体" w:hAnsi="宋体" w:eastAsia="方正大标宋简体"/>
          <w:b/>
          <w:sz w:val="36"/>
        </w:rPr>
      </w:pPr>
    </w:p>
    <w:p>
      <w:pPr>
        <w:snapToGrid w:val="0"/>
        <w:spacing w:beforeLines="50" w:line="480" w:lineRule="exact"/>
        <w:jc w:val="center"/>
        <w:rPr>
          <w:rFonts w:ascii="方正大标宋简体" w:hAnsi="宋体" w:eastAsia="方正大标宋简体"/>
          <w:b/>
          <w:sz w:val="36"/>
        </w:rPr>
      </w:pPr>
      <w:r>
        <w:rPr>
          <w:rFonts w:hint="eastAsia" w:ascii="方正大标宋简体" w:hAnsi="宋体" w:eastAsia="方正大标宋简体"/>
          <w:b/>
          <w:sz w:val="36"/>
        </w:rPr>
        <w:t>常乐智享</w:t>
      </w:r>
      <w:r>
        <w:rPr>
          <w:rFonts w:hint="eastAsia" w:ascii="方正大标宋简体" w:hAnsi="宋体" w:eastAsia="方正大标宋简体"/>
          <w:b/>
          <w:sz w:val="36"/>
          <w:u w:val="single"/>
        </w:rPr>
        <w:t>一年期A款</w:t>
      </w:r>
      <w:r>
        <w:rPr>
          <w:rFonts w:hint="eastAsia" w:ascii="方正大标宋简体" w:hAnsi="宋体" w:eastAsia="方正大标宋简体"/>
          <w:b/>
          <w:sz w:val="36"/>
        </w:rPr>
        <w:t>净值型</w:t>
      </w:r>
      <w:r>
        <w:rPr>
          <w:rFonts w:hint="eastAsia" w:ascii="方正大标宋简体" w:hAnsi="宋体" w:eastAsia="方正大标宋简体"/>
          <w:b/>
          <w:sz w:val="36"/>
          <w:szCs w:val="36"/>
        </w:rPr>
        <w:t>人民币</w:t>
      </w:r>
      <w:r>
        <w:rPr>
          <w:rFonts w:hint="eastAsia" w:ascii="方正大标宋简体" w:hAnsi="宋体" w:eastAsia="方正大标宋简体"/>
          <w:b/>
          <w:sz w:val="36"/>
        </w:rPr>
        <w:t>理财产品说明书</w:t>
      </w:r>
    </w:p>
    <w:p>
      <w:pPr>
        <w:snapToGrid w:val="0"/>
        <w:spacing w:beforeLines="50" w:line="480" w:lineRule="exact"/>
        <w:jc w:val="center"/>
        <w:rPr>
          <w:rFonts w:ascii="方正大标宋简体" w:hAnsi="宋体" w:eastAsia="方正大标宋简体"/>
          <w:b/>
        </w:rPr>
      </w:pPr>
    </w:p>
    <w:p>
      <w:pPr>
        <w:snapToGrid w:val="0"/>
        <w:spacing w:line="360" w:lineRule="atLeast"/>
        <w:ind w:firstLine="522" w:firstLineChars="200"/>
        <w:jc w:val="center"/>
        <w:rPr>
          <w:rFonts w:ascii="楷体_GB2312" w:eastAsia="楷体_GB2312"/>
          <w:b/>
          <w:spacing w:val="-10"/>
          <w:kern w:val="0"/>
          <w:sz w:val="28"/>
        </w:rPr>
      </w:pPr>
      <w:r>
        <w:rPr>
          <w:rFonts w:hint="eastAsia" w:ascii="楷体_GB2312" w:eastAsia="楷体_GB2312"/>
          <w:b/>
          <w:spacing w:val="-10"/>
          <w:kern w:val="0"/>
          <w:sz w:val="28"/>
        </w:rPr>
        <w:t>重要提示</w:t>
      </w:r>
    </w:p>
    <w:p>
      <w:pPr>
        <w:snapToGrid w:val="0"/>
        <w:spacing w:line="360" w:lineRule="exact"/>
        <w:rPr>
          <w:rFonts w:ascii="楷体_GB2312" w:eastAsia="楷体_GB2312"/>
          <w:szCs w:val="21"/>
        </w:rPr>
      </w:pPr>
      <w:r>
        <w:rPr>
          <w:rFonts w:hint="eastAsia" w:ascii="楷体_GB2312" w:eastAsia="楷体_GB2312"/>
          <w:szCs w:val="21"/>
        </w:rPr>
        <w:t>尊敬的投资者：</w:t>
      </w:r>
    </w:p>
    <w:p>
      <w:pPr>
        <w:snapToGrid w:val="0"/>
        <w:spacing w:line="360" w:lineRule="exact"/>
        <w:ind w:firstLine="420" w:firstLineChars="200"/>
        <w:rPr>
          <w:rFonts w:ascii="楷体_GB2312" w:eastAsia="楷体_GB2312"/>
          <w:b/>
          <w:bCs/>
          <w:szCs w:val="21"/>
        </w:rPr>
      </w:pPr>
      <w:r>
        <w:rPr>
          <w:rFonts w:hint="eastAsia" w:ascii="楷体_GB2312" w:eastAsia="楷体_GB2312"/>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本产品说明书与《</w:t>
      </w:r>
      <w:r>
        <w:rPr>
          <w:rFonts w:ascii="楷体_GB2312" w:eastAsia="楷体_GB2312"/>
          <w:b/>
          <w:szCs w:val="21"/>
        </w:rPr>
        <w:t>风险</w:t>
      </w:r>
      <w:r>
        <w:rPr>
          <w:rFonts w:hint="eastAsia" w:ascii="楷体_GB2312" w:eastAsia="楷体_GB2312"/>
          <w:b/>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szCs w:val="21"/>
        </w:rPr>
        <w:t>理财产品的投资方向、风险类型及业绩比较基准（如有）等，</w:t>
      </w:r>
      <w:r>
        <w:rPr>
          <w:rFonts w:hint="eastAsia" w:ascii="楷体_GB2312" w:eastAsia="楷体_GB2312"/>
          <w:b/>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常熟农商银行有权依法对本产品说明书进行解释。</w:t>
      </w:r>
    </w:p>
    <w:p>
      <w:pPr>
        <w:snapToGrid w:val="0"/>
        <w:spacing w:line="360" w:lineRule="atLeast"/>
        <w:ind w:firstLine="420" w:firstLineChars="200"/>
        <w:rPr>
          <w:rFonts w:ascii="楷体_GB2312" w:eastAsia="楷体_GB2312"/>
        </w:rPr>
      </w:pPr>
    </w:p>
    <w:p>
      <w:pPr>
        <w:spacing w:line="360" w:lineRule="atLeast"/>
        <w:jc w:val="center"/>
        <w:rPr>
          <w:rFonts w:ascii="楷体_GB2312" w:hAnsi="Times New Roman" w:eastAsia="楷体_GB2312"/>
          <w:b/>
          <w:sz w:val="28"/>
        </w:rPr>
      </w:pPr>
      <w:r>
        <w:rPr>
          <w:rFonts w:hint="eastAsia" w:ascii="楷体_GB2312" w:hAnsi="Times New Roman" w:eastAsia="楷体_GB2312"/>
          <w:b/>
          <w:sz w:val="28"/>
        </w:rPr>
        <w:t>一、产品基本要素</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产品名称</w:t>
            </w:r>
          </w:p>
        </w:tc>
        <w:tc>
          <w:tcPr>
            <w:tcW w:w="6466" w:type="dxa"/>
            <w:vAlign w:val="top"/>
          </w:tcPr>
          <w:p>
            <w:pPr>
              <w:spacing w:line="360" w:lineRule="exact"/>
            </w:pPr>
            <w:r>
              <w:rPr>
                <w:rFonts w:hint="eastAsia" w:eastAsia="楷体_GB2312"/>
              </w:rPr>
              <w:t>常乐智享</w:t>
            </w:r>
            <w:r>
              <w:rPr>
                <w:rFonts w:hint="eastAsia" w:eastAsia="楷体_GB2312"/>
                <w:u w:val="single"/>
              </w:rPr>
              <w:t>一年期A款</w:t>
            </w:r>
            <w:r>
              <w:rPr>
                <w:rFonts w:hint="eastAsia" w:eastAsia="楷体_GB2312"/>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理财信息登记系统产品编码</w:t>
            </w:r>
          </w:p>
        </w:tc>
        <w:tc>
          <w:tcPr>
            <w:tcW w:w="6466" w:type="dxa"/>
            <w:vAlign w:val="top"/>
          </w:tcPr>
          <w:p>
            <w:pPr>
              <w:spacing w:line="360" w:lineRule="exact"/>
              <w:rPr>
                <w:rFonts w:hint="eastAsia" w:ascii="TimesNewRomanPSMT" w:hAnsi="Times New Roman" w:eastAsia="TimesNewRomanPSMT" w:cs="TimesNewRomanPSMT"/>
                <w:kern w:val="0"/>
                <w:szCs w:val="21"/>
                <w:u w:val="single"/>
              </w:rPr>
            </w:pPr>
            <w:r>
              <w:rPr>
                <w:rFonts w:hint="eastAsia" w:ascii="TimesNewRomanPSMT" w:hAnsi="Times New Roman" w:eastAsia="TimesNewRomanPSMT" w:cs="TimesNewRomanPSMT"/>
                <w:kern w:val="0"/>
                <w:szCs w:val="21"/>
                <w:u w:val="single"/>
              </w:rPr>
              <w:t>C1115421000003</w:t>
            </w:r>
          </w:p>
          <w:p>
            <w:pPr>
              <w:spacing w:line="360" w:lineRule="exact"/>
              <w:rPr>
                <w:rFonts w:ascii="Times New Roman" w:hAnsi="Times New Roman" w:eastAsia="楷体_GB2312"/>
              </w:rPr>
            </w:pPr>
            <w:r>
              <w:rPr>
                <w:rFonts w:hint="eastAsia" w:ascii="Times New Roman" w:hAnsi="Times New Roman" w:eastAsia="楷体_GB2312"/>
              </w:rPr>
              <w:t>投资者可依据该登记编码在中国理财网（</w:t>
            </w:r>
            <w:r>
              <w:rPr>
                <w:rFonts w:ascii="Times New Roman" w:hAnsi="Times New Roman" w:eastAsia="楷体_GB2312"/>
              </w:rPr>
              <w:t>www.chinawealth.com.cn</w:t>
            </w:r>
            <w:r>
              <w:rPr>
                <w:rFonts w:hint="eastAsia" w:ascii="Times New Roman" w:hAnsi="Times New Roman" w:eastAsia="楷体_GB2312"/>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产品编号</w:t>
            </w:r>
          </w:p>
        </w:tc>
        <w:tc>
          <w:tcPr>
            <w:tcW w:w="6466" w:type="dxa"/>
            <w:vAlign w:val="top"/>
          </w:tcPr>
          <w:p>
            <w:pPr>
              <w:spacing w:line="360" w:lineRule="exact"/>
              <w:rPr>
                <w:rFonts w:ascii="Times New Roman" w:hAnsi="Times New Roman" w:eastAsia="楷体_GB2312"/>
              </w:rPr>
            </w:pPr>
            <w:r>
              <w:rPr>
                <w:rFonts w:eastAsia="楷体_GB2312"/>
              </w:rPr>
              <w:t>CLZX12M</w:t>
            </w:r>
            <w:r>
              <w:rPr>
                <w:rFonts w:hint="eastAsia" w:eastAsia="楷体_GB2312"/>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产品类型</w:t>
            </w:r>
          </w:p>
        </w:tc>
        <w:tc>
          <w:tcPr>
            <w:tcW w:w="6466" w:type="dxa"/>
            <w:vAlign w:val="top"/>
          </w:tcPr>
          <w:p>
            <w:pPr>
              <w:spacing w:line="360" w:lineRule="exact"/>
              <w:rPr>
                <w:rFonts w:ascii="Times New Roman" w:hAnsi="Times New Roman" w:eastAsia="楷体_GB2312"/>
              </w:rPr>
            </w:pPr>
            <w:r>
              <w:rPr>
                <w:rFonts w:hint="eastAsia" w:ascii="楷体_GB2312" w:hAnsi="Times New Roman" w:eastAsia="楷体_GB2312"/>
                <w:b/>
                <w:bCs/>
              </w:rPr>
              <w:t>固定收益类</w:t>
            </w:r>
            <w:r>
              <w:rPr>
                <w:rFonts w:ascii="楷体_GB2312" w:hAnsi="Times New Roman" w:eastAsia="楷体_GB2312"/>
                <w:b/>
                <w:bCs/>
              </w:rPr>
              <w:t>,</w:t>
            </w:r>
            <w:r>
              <w:rPr>
                <w:rFonts w:hint="eastAsia" w:ascii="楷体_GB2312" w:hAnsi="Times New Roman" w:eastAsia="楷体_GB2312"/>
                <w:b/>
                <w:bCs/>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rPr>
            </w:pPr>
            <w:r>
              <w:rPr>
                <w:rFonts w:hint="eastAsia" w:ascii="Times New Roman" w:hAnsi="Times New Roman" w:eastAsia="楷体_GB2312"/>
                <w:b/>
              </w:rPr>
              <w:t>发行方式</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发行人</w:t>
            </w:r>
            <w:r>
              <w:rPr>
                <w:rFonts w:ascii="楷体_GB2312" w:hAnsi="Times New Roman" w:eastAsia="楷体_GB2312"/>
                <w:b/>
              </w:rPr>
              <w:t>/</w:t>
            </w:r>
            <w:r>
              <w:rPr>
                <w:rFonts w:hint="eastAsia" w:ascii="楷体_GB2312" w:hAnsi="Times New Roman" w:eastAsia="楷体_GB2312"/>
                <w:b/>
              </w:rPr>
              <w:t>管理人</w:t>
            </w:r>
          </w:p>
        </w:tc>
        <w:tc>
          <w:tcPr>
            <w:tcW w:w="6466" w:type="dxa"/>
            <w:vAlign w:val="top"/>
          </w:tcPr>
          <w:p>
            <w:pPr>
              <w:rPr>
                <w:rFonts w:ascii="Times New Roman" w:hAnsi="Times New Roman" w:eastAsia="楷体_GB2312"/>
              </w:rPr>
            </w:pPr>
            <w:r>
              <w:rPr>
                <w:rFonts w:hint="eastAsia" w:ascii="楷体_GB2312" w:hAnsi="Times New Roman" w:eastAsia="楷体_GB2312"/>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托管人</w:t>
            </w:r>
          </w:p>
        </w:tc>
        <w:tc>
          <w:tcPr>
            <w:tcW w:w="6466" w:type="dxa"/>
            <w:vAlign w:val="top"/>
          </w:tcPr>
          <w:p>
            <w:pPr>
              <w:rPr>
                <w:rFonts w:ascii="Times New Roman" w:hAnsi="Times New Roman" w:eastAsia="楷体_GB2312"/>
              </w:rPr>
            </w:pPr>
            <w:r>
              <w:rPr>
                <w:rFonts w:hint="eastAsia" w:ascii="Times New Roman" w:hAnsi="Times New Roman" w:eastAsia="楷体_GB2312"/>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募集币种</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单位份额面值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发行价格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r>
              <w:rPr>
                <w:rFonts w:ascii="楷体_GB2312" w:hAnsi="Times New Roman" w:eastAsia="楷体_GB2312"/>
              </w:rPr>
              <w:t>/</w:t>
            </w:r>
            <w:r>
              <w:rPr>
                <w:rFonts w:hint="eastAsia" w:ascii="楷体_GB2312" w:hAnsi="Times New Roman" w:eastAsia="楷体_GB2312"/>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业绩比较基准（</w:t>
            </w:r>
            <w:r>
              <w:rPr>
                <w:rFonts w:hint="eastAsia" w:ascii="楷体_GB2312" w:hAnsi="Times New Roman" w:eastAsia="楷体_GB2312"/>
                <w:b/>
                <w:lang w:eastAsia="zh-CN"/>
              </w:rPr>
              <w:t>年化</w:t>
            </w:r>
            <w:r>
              <w:rPr>
                <w:rFonts w:hint="eastAsia" w:ascii="楷体_GB2312" w:hAnsi="Times New Roman" w:eastAsia="楷体_GB2312"/>
                <w:b/>
              </w:rPr>
              <w:t>）</w:t>
            </w:r>
          </w:p>
        </w:tc>
        <w:tc>
          <w:tcPr>
            <w:tcW w:w="6466" w:type="dxa"/>
            <w:vAlign w:val="top"/>
          </w:tcPr>
          <w:p>
            <w:pPr>
              <w:spacing w:line="360" w:lineRule="exact"/>
              <w:rPr>
                <w:rFonts w:eastAsia="楷体_GB2312"/>
              </w:rPr>
            </w:pPr>
            <w:r>
              <w:rPr>
                <w:rFonts w:hint="eastAsia" w:eastAsia="楷体_GB2312"/>
              </w:rPr>
              <w:t>认购期及开放期内业绩比较基准详见常熟农商银行发布的公告。</w:t>
            </w:r>
          </w:p>
          <w:p>
            <w:pPr>
              <w:widowControl/>
              <w:wordWrap/>
              <w:adjustRightInd/>
              <w:snapToGrid w:val="0"/>
              <w:spacing w:beforeLines="0" w:afterLines="0" w:line="360" w:lineRule="exact"/>
              <w:ind w:left="0" w:leftChars="0" w:right="0" w:firstLine="0" w:firstLineChars="0"/>
              <w:jc w:val="left"/>
              <w:textAlignment w:val="auto"/>
              <w:outlineLvl w:val="9"/>
              <w:rPr>
                <w:rFonts w:hint="eastAsia" w:ascii="Times New Roman" w:hAnsi="Times New Roman" w:eastAsia="楷体_GB2312" w:cs="Times New Roman"/>
                <w:lang w:eastAsia="zh-CN"/>
              </w:rPr>
            </w:pPr>
            <w:r>
              <w:rPr>
                <w:rFonts w:ascii="Times New Roman" w:hAnsi="Times New Roman" w:eastAsia="楷体_GB2312"/>
                <w:b/>
                <w:bCs/>
                <w:color w:val="000000"/>
              </w:rPr>
              <w:t>业绩比较基准的说明：</w:t>
            </w:r>
            <w:r>
              <w:rPr>
                <w:rFonts w:hint="eastAsia" w:ascii="Times New Roman" w:hAnsi="Times New Roman" w:eastAsia="楷体_GB2312" w:cs="Times New Roman"/>
                <w:lang w:eastAsia="zh-CN"/>
              </w:rPr>
              <w:t>本产品拟投资资产的比例</w:t>
            </w:r>
            <w:r>
              <w:rPr>
                <w:rFonts w:hint="eastAsia" w:ascii="Times New Roman" w:hAnsi="Times New Roman" w:eastAsia="楷体_GB2312"/>
              </w:rPr>
              <w:t>为存款、货币基金等现金类资产</w:t>
            </w:r>
            <w:r>
              <w:rPr>
                <w:rFonts w:hint="eastAsia" w:ascii="Times New Roman" w:hAnsi="Times New Roman" w:eastAsia="楷体_GB2312"/>
                <w:b w:val="0"/>
                <w:bCs w:val="0"/>
              </w:rPr>
              <w:t xml:space="preserve"> 0-30%</w:t>
            </w:r>
            <w:r>
              <w:rPr>
                <w:rFonts w:hint="eastAsia" w:ascii="Times New Roman" w:hAnsi="Times New Roman" w:eastAsia="楷体_GB2312"/>
              </w:rPr>
              <w:t>，债券资产、同业存单、同业拆借、回购、债券基金</w:t>
            </w:r>
            <w:r>
              <w:rPr>
                <w:rFonts w:hint="eastAsia" w:ascii="Times New Roman" w:hAnsi="Times New Roman" w:eastAsia="楷体_GB2312"/>
                <w:b w:val="0"/>
                <w:bCs w:val="0"/>
              </w:rPr>
              <w:t>30-100%</w:t>
            </w:r>
            <w:r>
              <w:rPr>
                <w:rFonts w:hint="eastAsia" w:ascii="Times New Roman" w:hAnsi="Times New Roman" w:eastAsia="楷体_GB2312"/>
              </w:rPr>
              <w:t>，同业借款、理财直融工具、债权融资计划及其他符合监管要求的债权类资产</w:t>
            </w:r>
            <w:r>
              <w:rPr>
                <w:rFonts w:hint="eastAsia" w:ascii="Times New Roman" w:hAnsi="Times New Roman" w:eastAsia="楷体_GB2312"/>
                <w:b w:val="0"/>
                <w:bCs w:val="0"/>
              </w:rPr>
              <w:t>0-20%</w:t>
            </w:r>
            <w:r>
              <w:rPr>
                <w:rFonts w:hint="eastAsia" w:ascii="Times New Roman" w:hAnsi="Times New Roman" w:eastAsia="楷体_GB2312"/>
              </w:rPr>
              <w:t>，股票型基金、混合型基金等权益类资产，以及金融衍生品等</w:t>
            </w:r>
            <w:r>
              <w:rPr>
                <w:rFonts w:hint="eastAsia" w:ascii="Times New Roman" w:hAnsi="Times New Roman" w:eastAsia="楷体_GB2312"/>
                <w:b w:val="0"/>
                <w:bCs w:val="0"/>
              </w:rPr>
              <w:t>0-20%</w:t>
            </w:r>
            <w:r>
              <w:rPr>
                <w:rFonts w:hint="eastAsia" w:ascii="Times New Roman" w:hAnsi="Times New Roman" w:eastAsia="楷体_GB2312" w:cs="Times New Roman"/>
                <w:lang w:eastAsia="zh-CN"/>
              </w:rPr>
              <w:t>，杠杆率不超</w:t>
            </w:r>
            <w:r>
              <w:rPr>
                <w:rFonts w:hint="eastAsia" w:ascii="Times New Roman" w:hAnsi="Times New Roman" w:eastAsia="楷体_GB2312" w:cs="Times New Roman"/>
                <w:lang w:val="en-US" w:eastAsia="zh-CN"/>
              </w:rPr>
              <w:t>140%，业绩比较基准参考市场利率水平和中国人民银行最新公布的金融机构人民币一年期定期存款基准利率水平，考虑拟投资资产的市场价格表现、波动幅度、在投资组合中的占比，预判在扣除管理费、托管费等相关费用后产品年化收益较为可能的波动幅度，并结合产品投资策略进行测算得出。（业绩比较基准测算仅供参考，具体投资比例可根据各类资产的收益水平、流动性特征、信用风险等因素动态调整，投资范围、投资策略详见以下“产品的投资范围和投资策略”）</w:t>
            </w:r>
          </w:p>
          <w:p>
            <w:pPr>
              <w:spacing w:line="360" w:lineRule="exact"/>
              <w:rPr>
                <w:rFonts w:ascii="Times New Roman" w:hAnsi="Times New Roman" w:eastAsia="楷体_GB2312"/>
              </w:rPr>
            </w:pPr>
            <w:r>
              <w:rPr>
                <w:rFonts w:hint="eastAsia" w:ascii="Times New Roman" w:hAnsi="Times New Roman" w:eastAsia="楷体_GB2312"/>
                <w:b/>
                <w:bCs/>
              </w:rPr>
              <w:t>本产品为净值型产品，其业绩表现将随市场波动，具有不确定性</w:t>
            </w:r>
            <w:r>
              <w:rPr>
                <w:rFonts w:hint="eastAsia" w:ascii="Times New Roman" w:hAnsi="Times New Roman" w:eastAsia="楷体_GB2312"/>
                <w:b/>
                <w:bCs/>
                <w:lang w:eastAsia="zh-CN"/>
              </w:rPr>
              <w:t>。</w:t>
            </w:r>
            <w:r>
              <w:rPr>
                <w:rFonts w:hint="eastAsia" w:ascii="Times New Roman" w:hAnsi="Times New Roman" w:eastAsia="楷体_GB2312" w:cs="Times New Roman"/>
                <w:b/>
                <w:bCs/>
                <w:lang w:eastAsia="zh-CN"/>
              </w:rPr>
              <w:t>本产品业绩比较基准是产品管理人基于产品性质、投资策略、过往经验等因素对产品设定的投资目标</w:t>
            </w:r>
            <w:r>
              <w:rPr>
                <w:rFonts w:hint="eastAsia" w:ascii="Times New Roman" w:hAnsi="Times New Roman" w:eastAsia="楷体_GB2312"/>
                <w:b/>
                <w:bCs/>
              </w:rPr>
              <w:t>，</w:t>
            </w:r>
            <w:r>
              <w:rPr>
                <w:rFonts w:hint="eastAsia" w:ascii="Times New Roman" w:hAnsi="Times New Roman" w:eastAsia="楷体_GB2312" w:cs="Times New Roman"/>
                <w:b/>
                <w:bCs/>
                <w:lang w:eastAsia="zh-CN"/>
              </w:rPr>
              <w:t>不代表本产品的未来表现和实际收益，</w:t>
            </w:r>
            <w:r>
              <w:rPr>
                <w:rFonts w:hint="eastAsia" w:ascii="Times New Roman" w:hAnsi="Times New Roman" w:eastAsia="楷体_GB2312"/>
                <w:b/>
                <w:bCs/>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产品内部风险评级</w:t>
            </w:r>
          </w:p>
        </w:tc>
        <w:tc>
          <w:tcPr>
            <w:tcW w:w="6466" w:type="dxa"/>
            <w:vAlign w:val="top"/>
          </w:tcPr>
          <w:p>
            <w:pPr>
              <w:spacing w:line="360" w:lineRule="exact"/>
              <w:rPr>
                <w:rFonts w:ascii="Times New Roman" w:hAnsi="Times New Roman" w:eastAsia="楷体_GB2312"/>
              </w:rPr>
            </w:pPr>
            <w:r>
              <w:rPr>
                <w:rFonts w:hint="eastAsia" w:ascii="楷体_GB2312" w:eastAsia="楷体_GB2312"/>
                <w:b/>
                <w:bCs/>
              </w:rPr>
              <w:t>二级</w:t>
            </w:r>
            <w:r>
              <w:rPr>
                <w:rFonts w:hint="eastAsia" w:ascii="楷体_GB2312" w:eastAsia="楷体_GB2312"/>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募集对象</w:t>
            </w:r>
          </w:p>
        </w:tc>
        <w:tc>
          <w:tcPr>
            <w:tcW w:w="6466" w:type="dxa"/>
            <w:vAlign w:val="top"/>
          </w:tcPr>
          <w:p>
            <w:pPr>
              <w:spacing w:line="360" w:lineRule="exact"/>
              <w:rPr>
                <w:rFonts w:ascii="Times New Roman" w:hAnsi="Times New Roman" w:eastAsia="楷体_GB2312"/>
              </w:rPr>
            </w:pPr>
            <w:r>
              <w:rPr>
                <w:rFonts w:hint="eastAsia" w:eastAsia="楷体_GB2312"/>
              </w:rPr>
              <w:t>经常熟农商银行风险承受能力评估为</w:t>
            </w:r>
            <w:r>
              <w:rPr>
                <w:rFonts w:hint="eastAsia" w:eastAsia="楷体_GB2312"/>
                <w:b/>
              </w:rPr>
              <w:t>谨慎型、</w:t>
            </w:r>
            <w:r>
              <w:rPr>
                <w:rFonts w:hint="eastAsia" w:eastAsia="楷体_GB2312"/>
                <w:b/>
                <w:bCs/>
              </w:rPr>
              <w:t>稳健型、进取型、积极进取型的个人及机构投资者</w:t>
            </w:r>
            <w:r>
              <w:rPr>
                <w:rFonts w:hint="eastAsia"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募集规模</w:t>
            </w:r>
          </w:p>
        </w:tc>
        <w:tc>
          <w:tcPr>
            <w:tcW w:w="6466" w:type="dxa"/>
            <w:vAlign w:val="top"/>
          </w:tcPr>
          <w:p>
            <w:pPr>
              <w:spacing w:line="360" w:lineRule="exact"/>
              <w:rPr>
                <w:rFonts w:ascii="Times New Roman" w:hAnsi="Times New Roman" w:eastAsia="楷体_GB2312"/>
              </w:rPr>
            </w:pPr>
            <w:r>
              <w:rPr>
                <w:rFonts w:hint="eastAsia" w:eastAsia="楷体_GB2312"/>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w:t>
            </w:r>
          </w:p>
        </w:tc>
        <w:tc>
          <w:tcPr>
            <w:tcW w:w="6466" w:type="dxa"/>
            <w:vAlign w:val="top"/>
          </w:tcPr>
          <w:p>
            <w:pPr>
              <w:spacing w:line="360" w:lineRule="exact"/>
              <w:rPr>
                <w:rFonts w:eastAsia="楷体_GB2312"/>
              </w:rPr>
            </w:pPr>
            <w:r>
              <w:rPr>
                <w:rFonts w:hint="eastAsia" w:eastAsia="楷体_GB2312"/>
                <w:b/>
                <w:szCs w:val="21"/>
                <w:u w:val="single"/>
              </w:rPr>
              <w:t>2021年1月13日</w:t>
            </w:r>
            <w:r>
              <w:rPr>
                <w:rFonts w:hint="eastAsia" w:eastAsia="楷体_GB2312"/>
                <w:b/>
                <w:u w:val="single"/>
              </w:rPr>
              <w:t>8:30至</w:t>
            </w:r>
            <w:r>
              <w:rPr>
                <w:rFonts w:hint="eastAsia" w:eastAsia="楷体_GB2312"/>
                <w:b/>
                <w:szCs w:val="21"/>
                <w:u w:val="single"/>
              </w:rPr>
              <w:t>2021年1月19日</w:t>
            </w:r>
            <w:r>
              <w:rPr>
                <w:rFonts w:hint="eastAsia" w:eastAsia="楷体_GB2312"/>
                <w:b/>
                <w:u w:val="single"/>
              </w:rPr>
              <w:t>20:30</w:t>
            </w:r>
            <w:r>
              <w:rPr>
                <w:rFonts w:hint="eastAsia" w:eastAsia="楷体_GB2312"/>
              </w:rPr>
              <w:t>（以银行系统时间为准）</w:t>
            </w:r>
          </w:p>
          <w:p>
            <w:pPr>
              <w:spacing w:line="360" w:lineRule="exact"/>
              <w:rPr>
                <w:rFonts w:eastAsia="楷体_GB2312"/>
              </w:rPr>
            </w:pPr>
            <w:r>
              <w:rPr>
                <w:rFonts w:hint="eastAsia" w:eastAsia="楷体_GB2312"/>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rPr>
            </w:pPr>
            <w:r>
              <w:rPr>
                <w:rFonts w:hint="eastAsia" w:eastAsia="楷体_GB2312"/>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认购资金扣划</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募集期的利息计算</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份额登记日</w:t>
            </w:r>
            <w:r>
              <w:rPr>
                <w:rFonts w:ascii="Times New Roman" w:hAnsi="Times New Roman" w:eastAsia="楷体_GB2312"/>
                <w:b/>
              </w:rPr>
              <w:t>/</w:t>
            </w:r>
            <w:r>
              <w:rPr>
                <w:rFonts w:hint="eastAsia" w:ascii="Times New Roman" w:hAnsi="Times New Roman" w:eastAsia="楷体_GB2312"/>
                <w:b/>
              </w:rPr>
              <w:t>产品成立日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21年1月20日</w:t>
            </w:r>
            <w:r>
              <w:rPr>
                <w:rFonts w:hint="eastAsia" w:ascii="Times New Roman" w:hAnsi="Times New Roman" w:eastAsia="楷体_GB2312"/>
                <w:b/>
                <w:bC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到期日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41年1月20日</w:t>
            </w:r>
            <w:r>
              <w:rPr>
                <w:rFonts w:hint="eastAsia" w:ascii="Times New Roman" w:hAnsi="Times New Roman" w:eastAsia="楷体_GB2312"/>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到期兑付日</w:t>
            </w:r>
          </w:p>
        </w:tc>
        <w:tc>
          <w:tcPr>
            <w:tcW w:w="6466" w:type="dxa"/>
            <w:vAlign w:val="top"/>
          </w:tcPr>
          <w:p>
            <w:pPr>
              <w:rPr>
                <w:rFonts w:ascii="Times New Roman" w:hAnsi="Times New Roman" w:eastAsia="楷体_GB2312"/>
              </w:rPr>
            </w:pPr>
            <w:r>
              <w:rPr>
                <w:rFonts w:hint="eastAsia" w:ascii="Times New Roman" w:hAnsi="Times New Roman" w:eastAsia="楷体_GB2312"/>
              </w:rPr>
              <w:t>本产品本金与收益（如有）将于产品到期日或提前终止日后一次性支付，最迟于产品清算完成后两个工作日内到账。</w:t>
            </w:r>
          </w:p>
          <w:p>
            <w:pPr>
              <w:rPr>
                <w:rFonts w:ascii="Times New Roman" w:hAnsi="Times New Roman" w:eastAsia="楷体_GB2312"/>
              </w:rPr>
            </w:pPr>
            <w:r>
              <w:rPr>
                <w:rFonts w:hint="eastAsia" w:ascii="Times New Roman" w:hAnsi="Times New Roman" w:eastAsia="楷体_GB2312"/>
              </w:rPr>
              <w:t>产品到期日</w:t>
            </w:r>
            <w:r>
              <w:rPr>
                <w:rFonts w:ascii="Times New Roman" w:hAnsi="Times New Roman" w:eastAsia="楷体_GB2312"/>
              </w:rPr>
              <w:t>/</w:t>
            </w:r>
            <w:r>
              <w:rPr>
                <w:rFonts w:hint="eastAsia" w:ascii="Times New Roman" w:hAnsi="Times New Roman" w:eastAsia="楷体_GB2312"/>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申购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r>
              <w:rPr>
                <w:rFonts w:ascii="Times New Roman" w:hAnsi="Times New Roman" w:eastAsia="楷体_GB2312"/>
                <w:b/>
              </w:rPr>
              <w:t>/</w:t>
            </w:r>
            <w:r>
              <w:rPr>
                <w:rFonts w:hint="eastAsia" w:ascii="Times New Roman" w:hAnsi="Times New Roman" w:eastAsia="楷体_GB2312"/>
                <w:b/>
              </w:rPr>
              <w:t>申购起点金额</w:t>
            </w:r>
          </w:p>
        </w:tc>
        <w:tc>
          <w:tcPr>
            <w:tcW w:w="6466" w:type="dxa"/>
            <w:vAlign w:val="top"/>
          </w:tcPr>
          <w:p>
            <w:pPr>
              <w:rPr>
                <w:rFonts w:eastAsia="楷体_GB2312"/>
                <w:bCs/>
                <w:szCs w:val="21"/>
              </w:rPr>
            </w:pPr>
            <w:r>
              <w:rPr>
                <w:rFonts w:ascii="Times New Roman" w:hAnsi="Times New Roman" w:eastAsia="楷体_GB2312"/>
                <w:u w:val="single"/>
              </w:rPr>
              <w:t>10,000.00</w:t>
            </w:r>
            <w:r>
              <w:rPr>
                <w:rFonts w:hint="eastAsia" w:ascii="Times New Roman" w:hAnsi="Times New Roman" w:eastAsia="楷体_GB2312"/>
              </w:rPr>
              <w:t>元；超出认购</w:t>
            </w:r>
            <w:r>
              <w:rPr>
                <w:rFonts w:ascii="Times New Roman" w:hAnsi="Times New Roman" w:eastAsia="楷体_GB2312"/>
              </w:rPr>
              <w:t>/</w:t>
            </w:r>
            <w:r>
              <w:rPr>
                <w:rFonts w:hint="eastAsia" w:ascii="Times New Roman" w:hAnsi="Times New Roman" w:eastAsia="楷体_GB2312"/>
              </w:rPr>
              <w:t>申购起点部分须为人民币</w:t>
            </w:r>
            <w:r>
              <w:rPr>
                <w:rFonts w:ascii="Times New Roman" w:hAnsi="Times New Roman" w:eastAsia="楷体_GB2312"/>
                <w:u w:val="single"/>
              </w:rPr>
              <w:t>1000.00</w:t>
            </w:r>
            <w:r>
              <w:rPr>
                <w:rFonts w:hint="eastAsia" w:ascii="Times New Roman" w:hAnsi="Times New Roman" w:eastAsia="楷体_GB2312"/>
              </w:rPr>
              <w:t>元或</w:t>
            </w:r>
            <w:r>
              <w:rPr>
                <w:rFonts w:ascii="Times New Roman" w:hAnsi="Times New Roman" w:eastAsia="楷体_GB2312"/>
                <w:u w:val="single"/>
              </w:rPr>
              <w:t>1000.00</w:t>
            </w:r>
            <w:r>
              <w:rPr>
                <w:rFonts w:hint="eastAsia" w:ascii="Times New Roman" w:hAnsi="Times New Roman" w:eastAsia="楷体_GB2312"/>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追加购买最低金额</w:t>
            </w:r>
          </w:p>
        </w:tc>
        <w:tc>
          <w:tcPr>
            <w:tcW w:w="6466" w:type="dxa"/>
            <w:vAlign w:val="top"/>
          </w:tcPr>
          <w:p>
            <w:pPr>
              <w:rPr>
                <w:rFonts w:eastAsia="楷体_GB2312"/>
                <w:bCs/>
                <w:szCs w:val="21"/>
              </w:rPr>
            </w:pPr>
            <w:r>
              <w:rPr>
                <w:rFonts w:ascii="Times New Roman" w:hAnsi="Times New Roman" w:eastAsia="楷体_GB2312"/>
                <w:u w:val="single"/>
              </w:rPr>
              <w:t>1000</w:t>
            </w:r>
            <w:r>
              <w:rPr>
                <w:rFonts w:hint="eastAsia" w:ascii="Times New Roman" w:hAnsi="Times New Roman" w:eastAsia="楷体_GB2312"/>
              </w:rPr>
              <w:t>元，以</w:t>
            </w:r>
            <w:r>
              <w:rPr>
                <w:rFonts w:ascii="Times New Roman" w:hAnsi="Times New Roman" w:eastAsia="楷体_GB2312"/>
                <w:u w:val="single"/>
              </w:rPr>
              <w:t>1000</w:t>
            </w:r>
            <w:r>
              <w:rPr>
                <w:rFonts w:hint="eastAsia" w:ascii="Times New Roman" w:hAnsi="Times New Roman" w:eastAsia="楷体_GB2312"/>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单一投资者最大认购/申购金额</w:t>
            </w:r>
          </w:p>
        </w:tc>
        <w:tc>
          <w:tcPr>
            <w:tcW w:w="6466" w:type="dxa"/>
            <w:vAlign w:val="top"/>
          </w:tcPr>
          <w:p>
            <w:pPr>
              <w:rPr>
                <w:rFonts w:ascii="Times New Roman" w:hAnsi="Times New Roman" w:eastAsia="楷体_GB2312"/>
                <w:u w:val="single"/>
              </w:rPr>
            </w:pPr>
            <w:r>
              <w:rPr>
                <w:rFonts w:hint="eastAsia" w:ascii="Times New Roman" w:hAnsi="Times New Roman" w:eastAsia="楷体_GB2312"/>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rPr>
            </w:pPr>
            <w:r>
              <w:rPr>
                <w:rFonts w:hint="eastAsia" w:ascii="Times New Roman" w:hAnsi="Times New Roman" w:eastAsia="楷体_GB2312"/>
                <w:b/>
              </w:rPr>
              <w:t>认购份额</w:t>
            </w:r>
          </w:p>
        </w:tc>
        <w:tc>
          <w:tcPr>
            <w:tcW w:w="6466" w:type="dxa"/>
            <w:vAlign w:val="top"/>
          </w:tcPr>
          <w:p>
            <w:pPr>
              <w:rPr>
                <w:rFonts w:ascii="Times New Roman" w:hAnsi="Times New Roman" w:eastAsia="楷体_GB2312"/>
              </w:rPr>
            </w:pPr>
            <w:r>
              <w:rPr>
                <w:rFonts w:hint="eastAsia" w:ascii="Times New Roman" w:hAnsi="Times New Roman" w:eastAsia="楷体_GB2312"/>
              </w:rPr>
              <w:t>认购份额＝认购金额</w:t>
            </w:r>
            <w:r>
              <w:rPr>
                <w:rFonts w:ascii="Times New Roman" w:hAnsi="Times New Roman" w:eastAsia="楷体_GB2312"/>
              </w:rPr>
              <w:t>/1</w:t>
            </w:r>
            <w:r>
              <w:rPr>
                <w:rFonts w:hint="eastAsia" w:ascii="Times New Roman" w:hAnsi="Times New Roman" w:eastAsia="楷体_GB2312"/>
              </w:rPr>
              <w:t>元</w:t>
            </w:r>
          </w:p>
          <w:p>
            <w:pPr>
              <w:rPr>
                <w:rFonts w:eastAsia="楷体_GB2312"/>
                <w:bCs/>
                <w:szCs w:val="21"/>
              </w:rPr>
            </w:pPr>
            <w:r>
              <w:rPr>
                <w:rFonts w:hint="eastAsia" w:ascii="Times New Roman" w:hAnsi="Times New Roman" w:eastAsia="楷体_GB2312"/>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申购份额</w:t>
            </w:r>
          </w:p>
        </w:tc>
        <w:tc>
          <w:tcPr>
            <w:tcW w:w="6466" w:type="dxa"/>
            <w:vAlign w:val="top"/>
          </w:tcPr>
          <w:p>
            <w:pPr>
              <w:rPr>
                <w:rFonts w:ascii="Times New Roman" w:hAnsi="Times New Roman" w:eastAsia="楷体_GB2312"/>
              </w:rPr>
            </w:pPr>
            <w:r>
              <w:rPr>
                <w:rFonts w:hint="eastAsia" w:eastAsia="楷体_GB2312"/>
              </w:rPr>
              <w:t>申购金额</w:t>
            </w:r>
            <w:r>
              <w:rPr>
                <w:rFonts w:eastAsia="楷体_GB2312"/>
              </w:rPr>
              <w:t>/</w:t>
            </w:r>
            <w:r>
              <w:rPr>
                <w:rFonts w:hint="eastAsia" w:eastAsia="楷体_GB2312"/>
              </w:rPr>
              <w:t>申购结束日</w:t>
            </w:r>
            <w:r>
              <w:rPr>
                <w:rFonts w:hint="eastAsia" w:ascii="Times New Roman" w:hAnsi="Times New Roman" w:eastAsia="楷体_GB2312"/>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eastAsia="楷体_GB2312"/>
                <w:b/>
              </w:rPr>
              <w:t>赎回规定</w:t>
            </w:r>
          </w:p>
        </w:tc>
        <w:tc>
          <w:tcPr>
            <w:tcW w:w="6466" w:type="dxa"/>
            <w:vAlign w:val="top"/>
          </w:tcPr>
          <w:p>
            <w:pPr>
              <w:rPr>
                <w:rFonts w:ascii="楷体_GB2312" w:eastAsia="楷体_GB2312"/>
              </w:rPr>
            </w:pPr>
            <w:r>
              <w:rPr>
                <w:rFonts w:hint="eastAsia" w:ascii="楷体_GB2312" w:eastAsia="楷体_GB2312"/>
              </w:rPr>
              <w:t>本产品不设大额赎回条款，无赎回费用。</w:t>
            </w:r>
          </w:p>
          <w:p>
            <w:pPr>
              <w:rPr>
                <w:rFonts w:ascii="楷体_GB2312" w:eastAsia="楷体_GB2312"/>
              </w:rPr>
            </w:pPr>
            <w:r>
              <w:rPr>
                <w:rFonts w:hint="eastAsia" w:ascii="楷体_GB2312" w:eastAsia="楷体_GB2312"/>
                <w:b/>
                <w:bCs/>
              </w:rPr>
              <w:t>投资者赎回采取份额全额自动赎回，到期赎回当日由系统自动发起，投资者无需主动提交赎回申请。</w:t>
            </w:r>
            <w:r>
              <w:rPr>
                <w:rFonts w:hint="eastAsia" w:ascii="楷体_GB2312" w:eastAsia="楷体_GB2312"/>
              </w:rPr>
              <w:t>投资者份额赎回时产品单位净值取份额赎回日前一开放日产品单位净值。</w:t>
            </w:r>
          </w:p>
          <w:p>
            <w:pPr>
              <w:rPr>
                <w:rFonts w:ascii="楷体_GB2312" w:eastAsia="楷体_GB2312"/>
              </w:rPr>
            </w:pPr>
            <w:r>
              <w:rPr>
                <w:rFonts w:hint="eastAsia" w:ascii="楷体_GB2312" w:eastAsia="楷体_GB2312"/>
              </w:rPr>
              <w:t>本产品自投资者持有产品份额到期之日（即份额赎回日）由管理人自动赎回，份额赎回日由</w:t>
            </w:r>
            <w:r>
              <w:rPr>
                <w:rFonts w:hint="eastAsia" w:eastAsia="楷体_GB2312"/>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赎回金额</w:t>
            </w:r>
          </w:p>
        </w:tc>
        <w:tc>
          <w:tcPr>
            <w:tcW w:w="6466" w:type="dxa"/>
            <w:vAlign w:val="top"/>
          </w:tcPr>
          <w:p>
            <w:pPr>
              <w:rPr>
                <w:rFonts w:ascii="Times New Roman" w:hAnsi="Times New Roman" w:eastAsia="楷体_GB2312"/>
              </w:rPr>
            </w:pPr>
            <w:r>
              <w:rPr>
                <w:rFonts w:hint="eastAsia" w:ascii="Times New Roman" w:hAnsi="Times New Roman" w:eastAsia="楷体_GB2312"/>
                <w:bCs/>
              </w:rPr>
              <w:t>赎回金额＝赎回份额×赎回日前一开放日产品单位净值。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募集期</w:t>
            </w:r>
            <w:r>
              <w:rPr>
                <w:rFonts w:ascii="楷体_GB2312" w:hAnsi="Times New Roman" w:eastAsia="楷体_GB2312"/>
                <w:b/>
              </w:rPr>
              <w:t>/</w:t>
            </w:r>
            <w:r>
              <w:rPr>
                <w:rFonts w:hint="eastAsia" w:ascii="楷体_GB2312" w:hAnsi="Times New Roman" w:eastAsia="楷体_GB2312"/>
                <w:b/>
              </w:rPr>
              <w:t>开放期是否允许撤单</w:t>
            </w:r>
          </w:p>
        </w:tc>
        <w:tc>
          <w:tcPr>
            <w:tcW w:w="6466" w:type="dxa"/>
            <w:vAlign w:val="top"/>
          </w:tcPr>
          <w:p>
            <w:pPr>
              <w:rPr>
                <w:rFonts w:ascii="Times New Roman" w:hAnsi="Times New Roman" w:eastAsia="楷体_GB2312"/>
                <w:bCs/>
              </w:rPr>
            </w:pPr>
            <w:r>
              <w:rPr>
                <w:rFonts w:hint="eastAsia" w:ascii="Times New Roman" w:hAnsi="Times New Roman" w:eastAsia="楷体_GB2312"/>
                <w:bCs/>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单位净值</w:t>
            </w:r>
          </w:p>
        </w:tc>
        <w:tc>
          <w:tcPr>
            <w:tcW w:w="6466" w:type="dxa"/>
            <w:vAlign w:val="top"/>
          </w:tcPr>
          <w:p>
            <w:pPr>
              <w:spacing w:line="360" w:lineRule="exact"/>
              <w:rPr>
                <w:rFonts w:ascii="Times New Roman" w:hAnsi="Times New Roman" w:eastAsia="楷体_GB2312"/>
                <w:bCs/>
              </w:rPr>
            </w:pPr>
            <w:r>
              <w:rPr>
                <w:rFonts w:hint="eastAsia" w:ascii="Times New Roman" w:hAnsi="Times New Roman" w:eastAsia="楷体_GB2312"/>
                <w:bCs/>
              </w:rPr>
              <w:t>指提取相关费用后的单位理财产品份额净值，投资者按该单位净值进行申购、赎回和终止时的分配。</w:t>
            </w:r>
          </w:p>
          <w:p>
            <w:pPr>
              <w:spacing w:line="360" w:lineRule="exact"/>
              <w:rPr>
                <w:rFonts w:ascii="Times New Roman" w:hAnsi="Times New Roman" w:eastAsia="楷体_GB2312"/>
                <w:bCs/>
              </w:rPr>
            </w:pPr>
            <w:r>
              <w:rPr>
                <w:rFonts w:hint="eastAsia" w:eastAsia="楷体_GB2312"/>
                <w:szCs w:val="21"/>
              </w:rPr>
              <w:t>其计算公式为：产品单位净值</w:t>
            </w:r>
            <w:r>
              <w:rPr>
                <w:rFonts w:eastAsia="楷体_GB2312"/>
                <w:szCs w:val="21"/>
              </w:rPr>
              <w:t>=</w:t>
            </w:r>
            <w:r>
              <w:rPr>
                <w:rFonts w:hint="eastAsia" w:eastAsia="楷体_GB2312"/>
                <w:szCs w:val="21"/>
              </w:rPr>
              <w:t>产品资产净值</w:t>
            </w:r>
            <w:r>
              <w:rPr>
                <w:rFonts w:eastAsia="楷体_GB2312"/>
                <w:szCs w:val="21"/>
              </w:rPr>
              <w:t>/</w:t>
            </w:r>
            <w:r>
              <w:rPr>
                <w:rFonts w:hint="eastAsia" w:eastAsia="楷体_GB2312"/>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eastAsia="楷体_GB2312"/>
                <w:b/>
                <w:bCs/>
              </w:rPr>
              <w:t>产品开放时间</w:t>
            </w:r>
          </w:p>
        </w:tc>
        <w:tc>
          <w:tcPr>
            <w:tcW w:w="6466" w:type="dxa"/>
            <w:vAlign w:val="top"/>
          </w:tcPr>
          <w:p>
            <w:pPr>
              <w:spacing w:line="360" w:lineRule="exact"/>
              <w:rPr>
                <w:rFonts w:eastAsia="楷体_GB2312"/>
              </w:rPr>
            </w:pPr>
            <w:r>
              <w:rPr>
                <w:rFonts w:eastAsia="楷体_GB2312"/>
                <w:b/>
                <w:bCs/>
              </w:rPr>
              <w:t>20</w:t>
            </w:r>
            <w:r>
              <w:rPr>
                <w:rFonts w:hint="eastAsia" w:eastAsia="楷体_GB2312"/>
                <w:b/>
                <w:bCs/>
              </w:rPr>
              <w:t>21年1月20日起投资者可提出申购申请</w:t>
            </w:r>
            <w:r>
              <w:rPr>
                <w:rFonts w:hint="eastAsia" w:eastAsia="楷体_GB2312"/>
              </w:rPr>
              <w:t>。投资者提出申购申请后，投资者资金将会冻结在投资者资金账户。投资者申购申请为预受理状态，投资者可在申购结束日</w:t>
            </w:r>
            <w:r>
              <w:rPr>
                <w:rFonts w:eastAsia="楷体_GB2312"/>
                <w:u w:val="single"/>
              </w:rPr>
              <w:t xml:space="preserve"> 20</w:t>
            </w:r>
            <w:r>
              <w:rPr>
                <w:rFonts w:hint="eastAsia" w:eastAsia="楷体_GB2312"/>
                <w:u w:val="single"/>
              </w:rPr>
              <w:t>：</w:t>
            </w:r>
            <w:r>
              <w:rPr>
                <w:rFonts w:eastAsia="楷体_GB2312"/>
                <w:u w:val="single"/>
              </w:rPr>
              <w:t>30</w:t>
            </w:r>
            <w:r>
              <w:rPr>
                <w:rFonts w:hint="eastAsia" w:eastAsia="楷体_GB2312"/>
              </w:rPr>
              <w:t>前通过撤单交易，取消申购申请。</w:t>
            </w:r>
          </w:p>
          <w:p>
            <w:pPr>
              <w:spacing w:line="360" w:lineRule="exact"/>
              <w:rPr>
                <w:rFonts w:eastAsia="楷体_GB2312"/>
              </w:rPr>
            </w:pPr>
            <w:r>
              <w:rPr>
                <w:rFonts w:hint="eastAsia" w:eastAsia="楷体_GB2312"/>
                <w:b/>
                <w:bCs/>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申购/赎回规则</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本产品采用金额申购、份额赎回原则，即申购以金额申请，赎回以份额申请。申购与赎回价格以</w:t>
            </w:r>
            <w:r>
              <w:rPr>
                <w:rFonts w:ascii="Times New Roman" w:hAnsi="Times New Roman" w:eastAsia="楷体_GB2312"/>
              </w:rPr>
              <w:t>"</w:t>
            </w:r>
            <w:r>
              <w:rPr>
                <w:rFonts w:hint="eastAsia" w:ascii="Times New Roman" w:hAnsi="Times New Roman" w:eastAsia="楷体_GB2312"/>
              </w:rPr>
              <w:t>未知价原则</w:t>
            </w:r>
            <w:r>
              <w:rPr>
                <w:rFonts w:ascii="Times New Roman" w:hAnsi="Times New Roman" w:eastAsia="楷体_GB2312"/>
              </w:rPr>
              <w:t>"</w:t>
            </w:r>
            <w:r>
              <w:rPr>
                <w:rFonts w:hint="eastAsia" w:ascii="Times New Roman" w:hAnsi="Times New Roman" w:eastAsia="楷体_GB2312"/>
              </w:rPr>
              <w:t>受理申请，即</w:t>
            </w:r>
            <w:r>
              <w:rPr>
                <w:rFonts w:hint="eastAsia" w:ascii="楷体_GB2312" w:eastAsia="楷体_GB2312"/>
              </w:rPr>
              <w:t>申购结束日</w:t>
            </w:r>
            <w:r>
              <w:rPr>
                <w:rFonts w:ascii="楷体_GB2312" w:eastAsia="楷体_GB2312"/>
              </w:rPr>
              <w:t>(T</w:t>
            </w:r>
            <w:r>
              <w:rPr>
                <w:rFonts w:hint="eastAsia" w:ascii="楷体_GB2312" w:eastAsia="楷体_GB2312"/>
              </w:rPr>
              <w:t>日</w:t>
            </w:r>
            <w:r>
              <w:rPr>
                <w:rFonts w:ascii="楷体_GB2312" w:eastAsia="楷体_GB2312"/>
              </w:rPr>
              <w:t>)</w:t>
            </w:r>
            <w:r>
              <w:rPr>
                <w:rFonts w:hint="eastAsia" w:ascii="Times New Roman" w:hAnsi="Times New Roman" w:eastAsia="楷体_GB2312"/>
              </w:rPr>
              <w:t>产品单位净值为基准进行计算。</w:t>
            </w:r>
          </w:p>
          <w:p>
            <w:pPr>
              <w:spacing w:line="360" w:lineRule="exact"/>
              <w:rPr>
                <w:rFonts w:ascii="Times New Roman" w:hAnsi="Times New Roman" w:eastAsia="楷体_GB2312"/>
              </w:rPr>
            </w:pPr>
            <w:r>
              <w:rPr>
                <w:rFonts w:hint="eastAsia" w:eastAsia="楷体_GB2312"/>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rPr>
            </w:pPr>
            <w:r>
              <w:rPr>
                <w:rFonts w:hint="eastAsia" w:ascii="Times New Roman" w:hAnsi="Times New Roman" w:eastAsia="楷体_GB2312"/>
              </w:rPr>
              <w:t>产品管理人有权单方面更改上述原则，但应最迟在新的原则实施前三个工作日予以公告。</w:t>
            </w:r>
          </w:p>
          <w:p>
            <w:pPr>
              <w:spacing w:line="360" w:lineRule="exact"/>
              <w:rPr>
                <w:rFonts w:ascii="Times New Roman" w:hAnsi="Times New Roman" w:eastAsia="楷体_GB2312"/>
              </w:rPr>
            </w:pPr>
            <w:r>
              <w:rPr>
                <w:rFonts w:hint="eastAsia" w:ascii="Times New Roman" w:hAnsi="Times New Roman" w:eastAsia="楷体_GB2312"/>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申购确认</w:t>
            </w:r>
          </w:p>
        </w:tc>
        <w:tc>
          <w:tcPr>
            <w:tcW w:w="6466" w:type="dxa"/>
            <w:vAlign w:val="top"/>
          </w:tcPr>
          <w:p>
            <w:pPr>
              <w:spacing w:line="360" w:lineRule="exact"/>
              <w:rPr>
                <w:rFonts w:ascii="Times New Roman" w:hAnsi="Times New Roman" w:eastAsia="楷体_GB2312"/>
              </w:rPr>
            </w:pPr>
            <w:r>
              <w:rPr>
                <w:rFonts w:hint="eastAsia" w:eastAsia="楷体_GB2312"/>
              </w:rPr>
              <w:t>产品管理人在</w:t>
            </w:r>
            <w:r>
              <w:rPr>
                <w:rFonts w:hint="eastAsia" w:ascii="楷体_GB2312" w:eastAsia="楷体_GB2312"/>
              </w:rPr>
              <w:t>申购结束日</w:t>
            </w:r>
            <w:r>
              <w:rPr>
                <w:rFonts w:hint="eastAsia" w:eastAsia="楷体_GB2312"/>
              </w:rPr>
              <w:t>后一工作日处理申购开放期业务办理时间段内收到申购申请，并对该交易的有效性进行确认并扣款，投资者可在</w:t>
            </w:r>
            <w:r>
              <w:rPr>
                <w:rFonts w:eastAsia="楷体_GB2312"/>
              </w:rPr>
              <w:t>T+3</w:t>
            </w:r>
            <w:r>
              <w:rPr>
                <w:rFonts w:hint="eastAsia" w:eastAsia="楷体_GB2312"/>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赎回资金到账日</w:t>
            </w:r>
          </w:p>
        </w:tc>
        <w:tc>
          <w:tcPr>
            <w:tcW w:w="6466" w:type="dxa"/>
            <w:vAlign w:val="top"/>
          </w:tcPr>
          <w:p>
            <w:pPr>
              <w:spacing w:line="360" w:lineRule="exact"/>
              <w:rPr>
                <w:rFonts w:ascii="Times New Roman" w:hAnsi="Times New Roman" w:eastAsia="楷体_GB2312"/>
                <w:b/>
                <w:bCs/>
              </w:rPr>
            </w:pPr>
            <w:r>
              <w:rPr>
                <w:rFonts w:hint="eastAsia" w:ascii="Times New Roman" w:hAnsi="Times New Roman" w:eastAsia="楷体_GB2312"/>
                <w:b/>
                <w:bCs/>
              </w:rPr>
              <w:t>赎回资金将于份额赎回日后</w:t>
            </w:r>
            <w:r>
              <w:rPr>
                <w:rFonts w:ascii="Times New Roman" w:hAnsi="Times New Roman" w:eastAsia="楷体_GB2312"/>
                <w:b/>
                <w:bCs/>
              </w:rPr>
              <w:t>2</w:t>
            </w:r>
            <w:r>
              <w:rPr>
                <w:rFonts w:hint="eastAsia" w:ascii="Times New Roman" w:hAnsi="Times New Roman" w:eastAsia="楷体_GB2312"/>
                <w:b/>
                <w:bCs/>
              </w:rPr>
              <w:t>个工作日内一次性支付。</w:t>
            </w:r>
          </w:p>
          <w:p>
            <w:pPr>
              <w:spacing w:line="360" w:lineRule="exact"/>
              <w:rPr>
                <w:rFonts w:ascii="Times New Roman" w:hAnsi="Times New Roman" w:eastAsia="楷体_GB2312"/>
              </w:rPr>
            </w:pPr>
            <w:r>
              <w:rPr>
                <w:rFonts w:hint="eastAsia" w:ascii="Times New Roman" w:hAnsi="Times New Roman" w:eastAsia="楷体_GB2312"/>
                <w:b/>
                <w:bCs/>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相关费用</w:t>
            </w:r>
          </w:p>
        </w:tc>
        <w:tc>
          <w:tcPr>
            <w:tcW w:w="6466" w:type="dxa"/>
            <w:vAlign w:val="top"/>
          </w:tcPr>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认购费：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申购费</w:t>
            </w:r>
            <w:r>
              <w:rPr>
                <w:rFonts w:hint="eastAsia" w:ascii="楷体_GB2312" w:hAnsi="Times New Roman" w:eastAsia="楷体_GB2312"/>
                <w:u w:val="single"/>
              </w:rPr>
              <w:t>：</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赎回费：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管理费、托管费：</w:t>
            </w:r>
          </w:p>
          <w:p>
            <w:pPr>
              <w:spacing w:line="360" w:lineRule="exact"/>
              <w:rPr>
                <w:rFonts w:ascii="楷体_GB2312" w:eastAsia="楷体_GB2312"/>
              </w:rPr>
            </w:pPr>
            <w:r>
              <w:rPr>
                <w:rFonts w:hint="eastAsia" w:ascii="楷体_GB2312" w:hAnsi="Times New Roman" w:eastAsia="楷体_GB2312"/>
              </w:rPr>
              <w:t>本产品按照资产净值的</w:t>
            </w:r>
            <w:r>
              <w:rPr>
                <w:rFonts w:ascii="楷体_GB2312" w:hAnsi="Times New Roman" w:eastAsia="楷体_GB2312"/>
                <w:u w:val="single"/>
              </w:rPr>
              <w:t>0.5%/</w:t>
            </w:r>
            <w:r>
              <w:rPr>
                <w:rFonts w:hint="eastAsia" w:ascii="楷体_GB2312" w:hAnsi="Times New Roman" w:eastAsia="楷体_GB2312"/>
                <w:u w:val="single"/>
              </w:rPr>
              <w:t>年</w:t>
            </w:r>
            <w:r>
              <w:rPr>
                <w:rFonts w:hint="eastAsia" w:ascii="楷体_GB2312" w:hAnsi="Times New Roman" w:eastAsia="楷体_GB2312"/>
              </w:rPr>
              <w:t>提取固定管理费</w:t>
            </w:r>
            <w:r>
              <w:rPr>
                <w:rFonts w:hint="eastAsia" w:ascii="楷体_GB2312" w:eastAsia="楷体_GB2312"/>
              </w:rPr>
              <w:t>。</w:t>
            </w:r>
          </w:p>
          <w:p>
            <w:pPr>
              <w:spacing w:line="360" w:lineRule="exact"/>
              <w:rPr>
                <w:rFonts w:ascii="楷体_GB2312" w:hAnsi="Times New Roman" w:eastAsia="楷体_GB2312"/>
              </w:rPr>
            </w:pPr>
            <w:r>
              <w:rPr>
                <w:rFonts w:hint="eastAsia" w:ascii="楷体_GB2312" w:hAnsi="Times New Roman" w:eastAsia="楷体_GB2312"/>
              </w:rPr>
              <w:t>每日计提的固定管理费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0.5</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本产品按照资产净值的</w:t>
            </w:r>
            <w:r>
              <w:rPr>
                <w:rFonts w:ascii="楷体_GB2312" w:hAnsi="Times New Roman" w:eastAsia="楷体_GB2312"/>
                <w:u w:val="single"/>
              </w:rPr>
              <w:t>0.01%/</w:t>
            </w:r>
            <w:r>
              <w:rPr>
                <w:rFonts w:hint="eastAsia" w:ascii="楷体_GB2312" w:hAnsi="Times New Roman" w:eastAsia="楷体_GB2312"/>
                <w:u w:val="single"/>
              </w:rPr>
              <w:t>年</w:t>
            </w:r>
            <w:r>
              <w:rPr>
                <w:rFonts w:hint="eastAsia" w:ascii="楷体_GB2312" w:hAnsi="Times New Roman" w:eastAsia="楷体_GB2312"/>
              </w:rPr>
              <w:t>提取托管费。</w:t>
            </w:r>
          </w:p>
          <w:p>
            <w:pPr>
              <w:spacing w:line="360" w:lineRule="exact"/>
              <w:rPr>
                <w:rFonts w:ascii="楷体_GB2312" w:hAnsi="Times New Roman" w:eastAsia="楷体_GB2312"/>
              </w:rPr>
            </w:pPr>
            <w:r>
              <w:rPr>
                <w:rFonts w:hint="eastAsia" w:ascii="楷体_GB2312" w:hAnsi="Times New Roman" w:eastAsia="楷体_GB2312"/>
              </w:rPr>
              <w:t>每日计提的托管费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0.01</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产品固定管理费、托管费每日计提</w:t>
            </w:r>
            <w:r>
              <w:rPr>
                <w:rFonts w:hint="eastAsia"/>
              </w:rPr>
              <w:t>，</w:t>
            </w:r>
            <w:r>
              <w:rPr>
                <w:rFonts w:hint="eastAsia" w:ascii="楷体_GB2312" w:hAnsi="Times New Roman" w:eastAsia="楷体_GB2312"/>
              </w:rPr>
              <w:t>管理人有权根据实际情况自行提取固定管理费。</w:t>
            </w:r>
          </w:p>
          <w:p>
            <w:pPr>
              <w:spacing w:line="360" w:lineRule="exact"/>
              <w:rPr>
                <w:rFonts w:ascii="楷体_GB2312" w:hAnsi="Times New Roman" w:eastAsia="楷体_GB2312"/>
              </w:rPr>
            </w:pPr>
            <w:r>
              <w:rPr>
                <w:rFonts w:hint="eastAsia" w:ascii="楷体_GB2312" w:hAnsi="Times New Roman" w:eastAsia="楷体_GB2312"/>
              </w:rPr>
              <w:t>其他费用详见本产品说明书第三部分“产品的相关费用及收益与分配</w:t>
            </w:r>
          </w:p>
          <w:p>
            <w:pPr>
              <w:spacing w:line="360" w:lineRule="exact"/>
              <w:rPr>
                <w:rFonts w:ascii="Times New Roman" w:hAnsi="Times New Roman" w:eastAsia="楷体_GB2312"/>
              </w:rPr>
            </w:pPr>
            <w:r>
              <w:rPr>
                <w:rFonts w:hint="eastAsia" w:ascii="楷体_GB2312" w:hAnsi="Times New Roman"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销售渠道</w:t>
            </w:r>
          </w:p>
        </w:tc>
        <w:tc>
          <w:tcPr>
            <w:tcW w:w="6466" w:type="dxa"/>
            <w:vAlign w:val="top"/>
          </w:tcPr>
          <w:p>
            <w:r>
              <w:rPr>
                <w:rFonts w:hint="eastAsia" w:ascii="楷体_GB2312" w:hAnsi="Times New Roman" w:eastAsia="楷体_GB2312"/>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Times New Roman" w:hAnsi="Times New Roman" w:eastAsia="楷体_GB2312"/>
                <w:b/>
              </w:rPr>
              <w:t>工作日</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除法定节假日和休息日（以国务院公布为准）以外的中国的银行营业日。如遇特殊情况，以常熟农商银行具体公告为准。</w:t>
            </w:r>
          </w:p>
          <w:p>
            <w:pPr>
              <w:spacing w:line="360" w:lineRule="exact"/>
            </w:pPr>
            <w:r>
              <w:rPr>
                <w:rFonts w:hint="eastAsia" w:ascii="Times New Roman" w:hAnsi="Times New Roman" w:eastAsia="楷体_GB2312"/>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kern w:val="0"/>
              </w:rPr>
              <w:t>税收规定</w:t>
            </w:r>
          </w:p>
        </w:tc>
        <w:tc>
          <w:tcPr>
            <w:tcW w:w="6466" w:type="dxa"/>
            <w:vAlign w:val="top"/>
          </w:tcPr>
          <w:p>
            <w:pPr>
              <w:rPr>
                <w:rFonts w:ascii="Times New Roman" w:hAnsi="Times New Roman" w:eastAsia="楷体_GB2312"/>
              </w:rPr>
            </w:pPr>
            <w:r>
              <w:rPr>
                <w:rFonts w:hint="eastAsia" w:ascii="楷体_GB2312" w:hAnsi="Times New Roman" w:eastAsia="楷体_GB2312"/>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sz w:val="28"/>
        </w:rPr>
      </w:pPr>
    </w:p>
    <w:p>
      <w:pPr>
        <w:snapToGrid w:val="0"/>
        <w:spacing w:line="360" w:lineRule="atLeast"/>
        <w:ind w:firstLine="481" w:firstLineChars="171"/>
        <w:jc w:val="center"/>
        <w:rPr>
          <w:rFonts w:eastAsia="楷体_GB2312"/>
        </w:rPr>
      </w:pPr>
      <w:r>
        <w:rPr>
          <w:rFonts w:hint="eastAsia" w:ascii="楷体_GB2312" w:hAnsi="Times New Roman" w:eastAsia="楷体_GB2312"/>
          <w:b/>
          <w:sz w:val="28"/>
        </w:rPr>
        <w:t>二、</w:t>
      </w:r>
      <w:r>
        <w:rPr>
          <w:rFonts w:hint="eastAsia" w:ascii="楷体_GB2312" w:eastAsia="楷体_GB2312"/>
          <w:b/>
          <w:sz w:val="28"/>
        </w:rPr>
        <w:t>产品申购、赎回及发行计划</w:t>
      </w:r>
    </w:p>
    <w:p>
      <w:pPr>
        <w:spacing w:line="360" w:lineRule="exact"/>
        <w:ind w:firstLine="361" w:firstLineChars="171"/>
        <w:rPr>
          <w:rFonts w:eastAsia="楷体_GB2312"/>
          <w:b/>
        </w:rPr>
      </w:pPr>
      <w:r>
        <w:rPr>
          <w:rFonts w:hint="eastAsia" w:eastAsia="楷体_GB2312"/>
          <w:b/>
        </w:rPr>
        <w:t>（一）申购</w:t>
      </w:r>
    </w:p>
    <w:p>
      <w:pPr>
        <w:spacing w:line="360" w:lineRule="exact"/>
        <w:ind w:firstLine="359" w:firstLineChars="171"/>
        <w:rPr>
          <w:rFonts w:eastAsia="楷体_GB2312"/>
          <w:szCs w:val="21"/>
        </w:rPr>
      </w:pPr>
      <w:r>
        <w:rPr>
          <w:rFonts w:hint="eastAsia" w:eastAsia="楷体_GB2312"/>
          <w:szCs w:val="21"/>
        </w:rPr>
        <w:t>投资者必须在开放日的业务办理时间提出申购申请。</w:t>
      </w:r>
    </w:p>
    <w:p>
      <w:pPr>
        <w:spacing w:line="360" w:lineRule="exact"/>
        <w:ind w:firstLine="359" w:firstLineChars="171"/>
        <w:rPr>
          <w:rFonts w:eastAsia="楷体_GB2312"/>
        </w:rPr>
      </w:pPr>
      <w:r>
        <w:rPr>
          <w:rFonts w:hint="eastAsia" w:eastAsia="楷体_GB2312"/>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rPr>
      </w:pPr>
      <w:r>
        <w:rPr>
          <w:rFonts w:hint="eastAsia" w:eastAsia="楷体_GB2312"/>
          <w:b/>
          <w:bCs/>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rPr>
      </w:pPr>
      <w:r>
        <w:rPr>
          <w:rFonts w:hint="eastAsia" w:eastAsia="楷体_GB2312"/>
        </w:rPr>
        <w:t>（二）</w:t>
      </w:r>
      <w:r>
        <w:rPr>
          <w:rFonts w:hint="eastAsia" w:eastAsia="楷体_GB2312"/>
          <w:b/>
        </w:rPr>
        <w:t>赎回</w:t>
      </w:r>
    </w:p>
    <w:p>
      <w:pPr>
        <w:spacing w:line="360" w:lineRule="exact"/>
        <w:ind w:firstLine="359" w:firstLineChars="171"/>
        <w:rPr>
          <w:rFonts w:eastAsia="楷体_GB2312"/>
        </w:rPr>
      </w:pPr>
      <w:r>
        <w:rPr>
          <w:rFonts w:hint="eastAsia" w:eastAsia="楷体_GB2312"/>
        </w:rPr>
        <w:t>产品赎回金额的计算如下:</w:t>
      </w:r>
    </w:p>
    <w:p>
      <w:pPr>
        <w:spacing w:line="360" w:lineRule="exact"/>
        <w:ind w:firstLine="359" w:firstLineChars="171"/>
        <w:rPr>
          <w:rFonts w:eastAsia="楷体_GB2312"/>
          <w:b/>
          <w:bCs/>
        </w:rPr>
      </w:pPr>
      <w:r>
        <w:rPr>
          <w:rFonts w:hint="eastAsia" w:ascii="宋体" w:hAnsi="宋体" w:cs="宋体"/>
        </w:rPr>
        <w:t>•</w:t>
      </w:r>
      <w:r>
        <w:rPr>
          <w:rFonts w:hint="eastAsia" w:ascii="楷体" w:hAnsi="楷体" w:eastAsia="楷体" w:cs="楷体"/>
          <w:b/>
          <w:bCs/>
        </w:rPr>
        <w:t>赎回金额＝赎回份数×赎回日前一自然日产品单位净值</w:t>
      </w:r>
    </w:p>
    <w:p>
      <w:pPr>
        <w:spacing w:line="360" w:lineRule="exact"/>
        <w:ind w:firstLine="359" w:firstLineChars="171"/>
        <w:rPr>
          <w:rFonts w:eastAsia="楷体_GB2312"/>
        </w:rPr>
      </w:pPr>
      <w:r>
        <w:rPr>
          <w:rFonts w:hint="eastAsia" w:ascii="宋体" w:hAnsi="宋体" w:cs="宋体"/>
        </w:rPr>
        <w:t>•</w:t>
      </w:r>
      <w:r>
        <w:rPr>
          <w:rFonts w:hint="eastAsia" w:ascii="楷体" w:hAnsi="楷体" w:eastAsia="楷体" w:cs="楷体"/>
        </w:rPr>
        <w:t>赎回金额保留至小数点后两位，小数点后两位以下四舍五入。</w:t>
      </w:r>
    </w:p>
    <w:p>
      <w:pPr>
        <w:spacing w:line="360" w:lineRule="exact"/>
        <w:ind w:firstLine="359" w:firstLineChars="171"/>
        <w:rPr>
          <w:rFonts w:eastAsia="楷体_GB2312"/>
        </w:rPr>
      </w:pPr>
      <w:r>
        <w:rPr>
          <w:rFonts w:hint="eastAsia" w:eastAsia="楷体_GB2312"/>
        </w:rPr>
        <w:t>例：假设赎回本产品100,000份产品份额，持有时间为364天，假设赎回日前一自然日产品单位净值是1.03元，则赎回金额为：</w:t>
      </w:r>
    </w:p>
    <w:p>
      <w:pPr>
        <w:spacing w:line="360" w:lineRule="exact"/>
        <w:ind w:firstLine="359" w:firstLineChars="171"/>
        <w:rPr>
          <w:rFonts w:eastAsia="楷体_GB2312"/>
        </w:rPr>
      </w:pPr>
      <w:r>
        <w:rPr>
          <w:rFonts w:hint="eastAsia" w:eastAsia="楷体_GB2312"/>
        </w:rPr>
        <w:t>赎回金额=100,000×1.03=103,000元。</w:t>
      </w:r>
    </w:p>
    <w:p>
      <w:pPr>
        <w:spacing w:line="360" w:lineRule="exact"/>
        <w:ind w:firstLine="361" w:firstLineChars="171"/>
        <w:rPr>
          <w:rFonts w:eastAsia="楷体_GB2312"/>
          <w:b/>
          <w:bCs/>
        </w:rPr>
      </w:pPr>
      <w:r>
        <w:rPr>
          <w:rFonts w:hint="eastAsia" w:eastAsia="楷体_GB2312"/>
          <w:b/>
        </w:rPr>
        <w:t>（三）</w:t>
      </w:r>
      <w:r>
        <w:rPr>
          <w:rFonts w:hint="eastAsia" w:eastAsia="楷体_GB2312"/>
          <w:b/>
          <w:bCs/>
        </w:rPr>
        <w:t>发行计划</w:t>
      </w:r>
    </w:p>
    <w:p>
      <w:pPr>
        <w:spacing w:line="360" w:lineRule="exact"/>
        <w:ind w:firstLine="359" w:firstLineChars="171"/>
        <w:rPr>
          <w:rFonts w:eastAsia="楷体_GB2312"/>
        </w:rPr>
      </w:pPr>
      <w:r>
        <w:rPr>
          <w:rFonts w:hint="eastAsia" w:eastAsia="楷体_GB2312"/>
        </w:rPr>
        <w:t>产品首次认购计划如下，自</w:t>
      </w:r>
      <w:r>
        <w:rPr>
          <w:rFonts w:eastAsia="楷体_GB2312"/>
        </w:rPr>
        <w:t>20</w:t>
      </w:r>
      <w:r>
        <w:rPr>
          <w:rFonts w:hint="eastAsia" w:eastAsia="楷体_GB2312"/>
        </w:rPr>
        <w:t>21年1月20日起开放申购，正常情况下每周开放，具体发行安排详见常熟农商银行官网公告：</w:t>
      </w:r>
    </w:p>
    <w:tbl>
      <w:tblPr>
        <w:tblStyle w:val="9"/>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销售系统名称</w:t>
            </w:r>
          </w:p>
        </w:tc>
        <w:tc>
          <w:tcPr>
            <w:tcW w:w="1320" w:type="dxa"/>
            <w:vAlign w:val="center"/>
          </w:tcPr>
          <w:p>
            <w:pPr>
              <w:spacing w:line="360" w:lineRule="exact"/>
              <w:jc w:val="center"/>
              <w:rPr>
                <w:rFonts w:eastAsia="楷体_GB2312"/>
              </w:rPr>
            </w:pPr>
            <w:r>
              <w:rPr>
                <w:rFonts w:hint="eastAsia" w:eastAsia="楷体_GB2312"/>
              </w:rPr>
              <w:t>认购起始日</w:t>
            </w:r>
          </w:p>
        </w:tc>
        <w:tc>
          <w:tcPr>
            <w:tcW w:w="1297" w:type="dxa"/>
            <w:vAlign w:val="center"/>
          </w:tcPr>
          <w:p>
            <w:pPr>
              <w:spacing w:line="360" w:lineRule="exact"/>
              <w:jc w:val="center"/>
              <w:rPr>
                <w:rFonts w:eastAsia="楷体_GB2312"/>
              </w:rPr>
            </w:pPr>
            <w:r>
              <w:rPr>
                <w:rFonts w:hint="eastAsia" w:eastAsia="楷体_GB2312"/>
              </w:rPr>
              <w:t>认购结束日</w:t>
            </w:r>
          </w:p>
        </w:tc>
        <w:tc>
          <w:tcPr>
            <w:tcW w:w="1298" w:type="dxa"/>
            <w:vAlign w:val="center"/>
          </w:tcPr>
          <w:p>
            <w:pPr>
              <w:spacing w:line="360" w:lineRule="exact"/>
              <w:jc w:val="center"/>
              <w:rPr>
                <w:rFonts w:eastAsia="楷体_GB2312"/>
              </w:rPr>
            </w:pPr>
            <w:r>
              <w:rPr>
                <w:rFonts w:hint="eastAsia" w:eastAsia="楷体_GB2312"/>
              </w:rPr>
              <w:t>认购确认日</w:t>
            </w:r>
          </w:p>
        </w:tc>
        <w:tc>
          <w:tcPr>
            <w:tcW w:w="1890" w:type="dxa"/>
            <w:vAlign w:val="center"/>
          </w:tcPr>
          <w:p>
            <w:pPr>
              <w:spacing w:line="360" w:lineRule="exact"/>
              <w:jc w:val="center"/>
              <w:rPr>
                <w:rFonts w:eastAsia="楷体_GB2312"/>
              </w:rPr>
            </w:pPr>
            <w:r>
              <w:rPr>
                <w:rFonts w:hint="eastAsia" w:eastAsia="楷体_GB2312"/>
              </w:rPr>
              <w:t>投资者持有期限（天）</w:t>
            </w:r>
          </w:p>
        </w:tc>
        <w:tc>
          <w:tcPr>
            <w:tcW w:w="1365" w:type="dxa"/>
            <w:vAlign w:val="center"/>
          </w:tcPr>
          <w:p>
            <w:pPr>
              <w:spacing w:line="360" w:lineRule="exact"/>
              <w:jc w:val="center"/>
              <w:rPr>
                <w:rFonts w:eastAsia="楷体_GB2312"/>
              </w:rPr>
            </w:pPr>
            <w:r>
              <w:rPr>
                <w:rFonts w:hint="eastAsia" w:eastAsia="楷体_GB2312"/>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常乐智享一年期A款-1期</w:t>
            </w:r>
          </w:p>
        </w:tc>
        <w:tc>
          <w:tcPr>
            <w:tcW w:w="1320"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01</w:t>
            </w:r>
            <w:r>
              <w:rPr>
                <w:rFonts w:eastAsia="楷体_GB2312"/>
              </w:rPr>
              <w:t>/</w:t>
            </w:r>
            <w:r>
              <w:rPr>
                <w:rFonts w:hint="eastAsia" w:eastAsia="楷体_GB2312"/>
              </w:rPr>
              <w:t>13</w:t>
            </w:r>
          </w:p>
        </w:tc>
        <w:tc>
          <w:tcPr>
            <w:tcW w:w="1297"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01</w:t>
            </w:r>
            <w:r>
              <w:rPr>
                <w:rFonts w:eastAsia="楷体_GB2312"/>
              </w:rPr>
              <w:t>/</w:t>
            </w:r>
            <w:r>
              <w:rPr>
                <w:rFonts w:hint="eastAsia" w:eastAsia="楷体_GB2312"/>
              </w:rPr>
              <w:t>19</w:t>
            </w:r>
          </w:p>
        </w:tc>
        <w:tc>
          <w:tcPr>
            <w:tcW w:w="1298"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01</w:t>
            </w:r>
            <w:r>
              <w:rPr>
                <w:rFonts w:eastAsia="楷体_GB2312"/>
              </w:rPr>
              <w:t>/</w:t>
            </w:r>
            <w:r>
              <w:rPr>
                <w:rFonts w:hint="eastAsia" w:eastAsia="楷体_GB2312"/>
              </w:rPr>
              <w:t>20</w:t>
            </w:r>
          </w:p>
        </w:tc>
        <w:tc>
          <w:tcPr>
            <w:tcW w:w="1890" w:type="dxa"/>
            <w:vAlign w:val="center"/>
          </w:tcPr>
          <w:p>
            <w:pPr>
              <w:spacing w:line="360" w:lineRule="exact"/>
              <w:jc w:val="center"/>
              <w:rPr>
                <w:rFonts w:eastAsia="楷体_GB2312"/>
              </w:rPr>
            </w:pPr>
            <w:r>
              <w:rPr>
                <w:rFonts w:hint="eastAsia" w:eastAsia="楷体_GB2312"/>
              </w:rPr>
              <w:t>364</w:t>
            </w:r>
          </w:p>
        </w:tc>
        <w:tc>
          <w:tcPr>
            <w:tcW w:w="1365" w:type="dxa"/>
            <w:vAlign w:val="center"/>
          </w:tcPr>
          <w:p>
            <w:pPr>
              <w:spacing w:line="360" w:lineRule="exact"/>
              <w:jc w:val="center"/>
              <w:rPr>
                <w:rFonts w:eastAsia="楷体_GB2312"/>
              </w:rPr>
            </w:pPr>
            <w:r>
              <w:rPr>
                <w:rFonts w:eastAsia="楷体_GB2312"/>
              </w:rPr>
              <w:t>20</w:t>
            </w:r>
            <w:r>
              <w:rPr>
                <w:rFonts w:hint="eastAsia" w:eastAsia="楷体_GB2312"/>
              </w:rPr>
              <w:t>22</w:t>
            </w:r>
            <w:r>
              <w:rPr>
                <w:rFonts w:eastAsia="楷体_GB2312"/>
              </w:rPr>
              <w:t>/</w:t>
            </w:r>
            <w:r>
              <w:rPr>
                <w:rFonts w:hint="eastAsia" w:eastAsia="楷体_GB2312"/>
              </w:rPr>
              <w:t>01</w:t>
            </w:r>
            <w:r>
              <w:rPr>
                <w:rFonts w:eastAsia="楷体_GB2312"/>
              </w:rPr>
              <w:t>/</w:t>
            </w:r>
            <w:r>
              <w:rPr>
                <w:rFonts w:hint="eastAsia" w:eastAsia="楷体_GB2312"/>
              </w:rPr>
              <w:t>19</w:t>
            </w:r>
          </w:p>
        </w:tc>
      </w:tr>
    </w:tbl>
    <w:p>
      <w:pPr>
        <w:spacing w:line="360" w:lineRule="exact"/>
        <w:rPr>
          <w:rFonts w:eastAsia="楷体_GB2312"/>
        </w:rPr>
      </w:pPr>
    </w:p>
    <w:p>
      <w:pPr>
        <w:pStyle w:val="2"/>
        <w:snapToGrid w:val="0"/>
        <w:spacing w:before="0" w:after="0" w:line="360" w:lineRule="atLeast"/>
        <w:jc w:val="center"/>
        <w:rPr>
          <w:rFonts w:ascii="楷体_GB2312" w:eastAsia="楷体_GB2312"/>
          <w:sz w:val="28"/>
        </w:rPr>
      </w:pPr>
    </w:p>
    <w:p>
      <w:pPr>
        <w:pStyle w:val="2"/>
        <w:snapToGrid w:val="0"/>
        <w:spacing w:before="0" w:after="0" w:line="360" w:lineRule="atLeast"/>
        <w:jc w:val="center"/>
        <w:rPr>
          <w:rFonts w:ascii="楷体_GB2312" w:eastAsia="楷体_GB2312"/>
          <w:sz w:val="28"/>
        </w:rPr>
      </w:pPr>
      <w:r>
        <w:rPr>
          <w:rFonts w:hint="eastAsia" w:ascii="楷体_GB2312" w:eastAsia="楷体_GB2312"/>
          <w:sz w:val="28"/>
        </w:rPr>
        <w:t>三、产品的相关费用及收益计算</w:t>
      </w:r>
    </w:p>
    <w:p>
      <w:pPr>
        <w:snapToGrid w:val="0"/>
        <w:spacing w:line="360" w:lineRule="exact"/>
        <w:ind w:firstLine="422" w:firstLineChars="200"/>
        <w:rPr>
          <w:rFonts w:ascii="楷体_GB2312" w:eastAsia="楷体_GB2312"/>
          <w:b/>
          <w:bCs/>
        </w:rPr>
      </w:pPr>
      <w:r>
        <w:rPr>
          <w:rFonts w:hint="eastAsia" w:ascii="楷体_GB2312" w:eastAsia="楷体_GB2312"/>
          <w:b/>
          <w:bCs/>
        </w:rPr>
        <w:t>（一）与产品运作有关的费用</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、产品费用的种类</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1</w:t>
      </w:r>
      <w:r>
        <w:rPr>
          <w:rFonts w:hint="eastAsia" w:ascii="楷体_GB2312" w:eastAsia="楷体_GB2312"/>
        </w:rPr>
        <w:t>）产品管理费；</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2</w:t>
      </w:r>
      <w:r>
        <w:rPr>
          <w:rFonts w:hint="eastAsia" w:ascii="楷体_GB2312" w:eastAsia="楷体_GB2312"/>
        </w:rPr>
        <w:t>）产品托管费；</w:t>
      </w:r>
    </w:p>
    <w:p>
      <w:pPr>
        <w:snapToGrid w:val="0"/>
        <w:spacing w:line="360" w:lineRule="exact"/>
        <w:ind w:firstLine="420" w:firstLineChars="200"/>
        <w:rPr>
          <w:rFonts w:ascii="楷体_GB2312" w:eastAsia="楷体_GB2312"/>
          <w:szCs w:val="21"/>
        </w:rPr>
      </w:pPr>
      <w:r>
        <w:rPr>
          <w:rFonts w:hint="eastAsia" w:ascii="楷体_GB2312" w:eastAsia="楷体_GB2312"/>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szCs w:val="21"/>
        </w:rPr>
      </w:pPr>
      <w:r>
        <w:rPr>
          <w:rFonts w:hint="eastAsia" w:ascii="楷体_GB2312" w:eastAsia="楷体_GB2312"/>
          <w:szCs w:val="21"/>
        </w:rPr>
        <w:t>（4）按照国家有关规定可以列入的其它费用。</w:t>
      </w:r>
    </w:p>
    <w:p>
      <w:pPr>
        <w:snapToGrid w:val="0"/>
        <w:spacing w:line="360" w:lineRule="exact"/>
        <w:ind w:firstLine="420" w:firstLineChars="200"/>
        <w:rPr>
          <w:rFonts w:ascii="楷体_GB2312" w:eastAsia="楷体_GB2312"/>
        </w:rPr>
      </w:pPr>
      <w:r>
        <w:rPr>
          <w:rFonts w:hint="eastAsia" w:ascii="楷体_GB2312" w:eastAsia="楷体_GB2312"/>
        </w:rPr>
        <w:t>法律法规另有规定时从其规定。</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、产品费用支付方式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（1）固定管理费和托管费的支付方式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szCs w:val="21"/>
        </w:rPr>
      </w:pPr>
      <w:r>
        <w:rPr>
          <w:rFonts w:hint="eastAsia" w:ascii="楷体_GB2312" w:eastAsia="楷体_GB2312"/>
          <w:szCs w:val="21"/>
        </w:rPr>
        <w:t>（2）其他相关服务机构费用：根据相关服务机构的收费标准进行收取。</w:t>
      </w:r>
    </w:p>
    <w:p>
      <w:pPr>
        <w:snapToGrid w:val="0"/>
        <w:spacing w:line="360" w:lineRule="exact"/>
        <w:ind w:firstLine="420" w:firstLineChars="200"/>
        <w:rPr>
          <w:rFonts w:ascii="楷体_GB2312" w:eastAsia="楷体_GB2312"/>
          <w:szCs w:val="21"/>
        </w:rPr>
      </w:pPr>
      <w:r>
        <w:rPr>
          <w:rFonts w:hint="eastAsia" w:ascii="楷体_GB2312" w:eastAsia="楷体_GB2312"/>
          <w:szCs w:val="21"/>
        </w:rPr>
        <w:t>（3）</w:t>
      </w:r>
      <w:r>
        <w:rPr>
          <w:rFonts w:hint="eastAsia" w:ascii="楷体_GB2312" w:eastAsia="楷体_GB2312"/>
          <w:b/>
          <w:bCs/>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rPr>
      </w:pPr>
      <w:r>
        <w:rPr>
          <w:rFonts w:hint="eastAsia" w:eastAsia="楷体_GB2312"/>
          <w:b/>
          <w:bCs/>
        </w:rPr>
        <w:t>（二）产品收益计算</w:t>
      </w:r>
    </w:p>
    <w:p>
      <w:pPr>
        <w:snapToGrid w:val="0"/>
        <w:spacing w:line="360" w:lineRule="atLeast"/>
        <w:ind w:firstLine="359" w:firstLineChars="171"/>
        <w:rPr>
          <w:rFonts w:eastAsia="楷体_GB2312"/>
        </w:rPr>
      </w:pPr>
      <w:r>
        <w:rPr>
          <w:rFonts w:hint="eastAsia" w:eastAsia="楷体_GB2312"/>
        </w:rPr>
        <w:t>产品收益包括：</w:t>
      </w:r>
    </w:p>
    <w:p>
      <w:pPr>
        <w:snapToGrid w:val="0"/>
        <w:spacing w:line="360" w:lineRule="atLeast"/>
        <w:ind w:firstLine="359" w:firstLineChars="171"/>
        <w:rPr>
          <w:rFonts w:eastAsia="楷体_GB2312"/>
        </w:rPr>
      </w:pPr>
      <w:r>
        <w:rPr>
          <w:rFonts w:eastAsia="楷体_GB2312"/>
        </w:rPr>
        <w:t>1</w:t>
      </w:r>
      <w:r>
        <w:rPr>
          <w:rFonts w:hint="eastAsia" w:eastAsia="楷体_GB2312"/>
        </w:rPr>
        <w:t>、本产品投资的债券收益；其他金融工具投资收益及银行存款利息收益。</w:t>
      </w:r>
    </w:p>
    <w:p>
      <w:pPr>
        <w:snapToGrid w:val="0"/>
        <w:spacing w:line="360" w:lineRule="atLeast"/>
        <w:ind w:left="19" w:firstLine="338" w:firstLineChars="161"/>
        <w:rPr>
          <w:rFonts w:eastAsia="楷体_GB2312"/>
        </w:rPr>
      </w:pPr>
      <w:r>
        <w:rPr>
          <w:rFonts w:eastAsia="楷体_GB2312"/>
        </w:rPr>
        <w:t>2</w:t>
      </w:r>
      <w:r>
        <w:rPr>
          <w:rFonts w:hint="eastAsia" w:eastAsia="楷体_GB2312"/>
        </w:rPr>
        <w:t>、业绩比较基准（</w:t>
      </w:r>
      <w:r>
        <w:rPr>
          <w:rFonts w:eastAsia="楷体_GB2312"/>
        </w:rPr>
        <w:t>R</w:t>
      </w:r>
      <w:r>
        <w:rPr>
          <w:rFonts w:hint="eastAsia" w:eastAsia="楷体_GB2312"/>
        </w:rPr>
        <w:t>）：募集期及开放期内业绩比较基准详见常熟农商银行发布的公告。</w:t>
      </w:r>
      <w:r>
        <w:rPr>
          <w:rFonts w:hint="eastAsia" w:eastAsia="楷体_GB2312"/>
          <w:b/>
          <w:bCs/>
        </w:rPr>
        <w:t>业绩比较基准仅供投资者参考，不构成</w:t>
      </w:r>
      <w:r>
        <w:rPr>
          <w:rFonts w:hint="eastAsia" w:eastAsia="楷体_GB2312"/>
          <w:b/>
          <w:bCs/>
          <w:lang w:val="en-US" w:eastAsia="zh-CN"/>
        </w:rPr>
        <w:t>常熟农商银行</w:t>
      </w:r>
      <w:r>
        <w:rPr>
          <w:rFonts w:hint="eastAsia" w:eastAsia="楷体_GB2312"/>
          <w:b/>
          <w:bCs/>
        </w:rPr>
        <w:t>对</w:t>
      </w:r>
      <w:r>
        <w:rPr>
          <w:rFonts w:hint="eastAsia" w:eastAsia="楷体_GB2312"/>
          <w:b/>
          <w:bCs/>
          <w:lang w:val="en-US" w:eastAsia="zh-CN"/>
        </w:rPr>
        <w:t>本理财</w:t>
      </w:r>
      <w:r>
        <w:rPr>
          <w:rFonts w:hint="eastAsia" w:eastAsia="楷体_GB2312"/>
          <w:b/>
          <w:bCs/>
        </w:rPr>
        <w:t>产品</w:t>
      </w:r>
      <w:r>
        <w:rPr>
          <w:rFonts w:hint="eastAsia" w:eastAsia="楷体_GB2312"/>
          <w:b/>
          <w:bCs/>
          <w:lang w:val="en-US" w:eastAsia="zh-CN"/>
        </w:rPr>
        <w:t>投资收益</w:t>
      </w:r>
      <w:r>
        <w:rPr>
          <w:rFonts w:hint="eastAsia" w:eastAsia="楷体_GB2312"/>
          <w:b/>
          <w:bCs/>
        </w:rPr>
        <w:t>的承诺，投资者的实际收益由产品净值决定。</w:t>
      </w:r>
    </w:p>
    <w:p>
      <w:pPr>
        <w:snapToGrid w:val="0"/>
        <w:spacing w:line="360" w:lineRule="atLeast"/>
        <w:ind w:left="19" w:firstLine="338" w:firstLineChars="161"/>
        <w:rPr>
          <w:rFonts w:eastAsia="楷体_GB2312"/>
        </w:rPr>
      </w:pPr>
      <w:r>
        <w:rPr>
          <w:rFonts w:eastAsia="楷体_GB2312"/>
        </w:rPr>
        <w:t>3</w:t>
      </w:r>
      <w:r>
        <w:rPr>
          <w:rFonts w:hint="eastAsia" w:eastAsia="楷体_GB2312"/>
        </w:rPr>
        <w:t>、业绩报酬：如赎回日产品收益（扣除托管费、固定管理费等相关费用）超过业绩基准时，</w:t>
      </w:r>
      <w:r>
        <w:rPr>
          <w:rFonts w:hint="eastAsia" w:ascii="Times New Roman" w:hAnsi="Times New Roman" w:eastAsia="楷体_GB2312"/>
        </w:rPr>
        <w:t>超额部分的8</w:t>
      </w:r>
      <w:r>
        <w:rPr>
          <w:rFonts w:ascii="Times New Roman" w:hAnsi="Times New Roman" w:eastAsia="楷体_GB2312"/>
        </w:rPr>
        <w:t>0</w:t>
      </w:r>
      <w:r>
        <w:rPr>
          <w:rFonts w:hint="eastAsia" w:ascii="Times New Roman" w:hAnsi="Times New Roman" w:eastAsia="楷体_GB2312"/>
        </w:rPr>
        <w:t>%作为业绩报酬由管理人收取。</w:t>
      </w:r>
    </w:p>
    <w:p>
      <w:pPr>
        <w:snapToGrid w:val="0"/>
        <w:spacing w:line="360" w:lineRule="atLeast"/>
        <w:ind w:firstLine="420" w:firstLineChars="200"/>
        <w:rPr>
          <w:rFonts w:eastAsia="楷体_GB2312"/>
        </w:rPr>
      </w:pPr>
      <w:r>
        <w:rPr>
          <w:rFonts w:hint="eastAsia" w:eastAsia="楷体_GB2312"/>
        </w:rPr>
        <w:t>扣除托管费、固定管理费等相关费用后，投资者赎回日产品收益率（</w:t>
      </w:r>
      <w:r>
        <w:rPr>
          <w:rFonts w:eastAsia="楷体_GB2312"/>
        </w:rPr>
        <w:t>r</w:t>
      </w:r>
      <w:r>
        <w:rPr>
          <w:rFonts w:hint="eastAsia" w:eastAsia="楷体_GB2312"/>
        </w:rPr>
        <w:t>），收益分配存在下面三种情况：</w:t>
      </w:r>
    </w:p>
    <w:p>
      <w:pPr>
        <w:snapToGrid w:val="0"/>
        <w:spacing w:line="360" w:lineRule="atLeast"/>
        <w:ind w:left="19" w:firstLine="401"/>
        <w:rPr>
          <w:rFonts w:eastAsia="楷体_GB2312"/>
        </w:rPr>
      </w:pPr>
      <w:r>
        <w:rPr>
          <w:rFonts w:hint="eastAsia" w:eastAsia="楷体_GB2312"/>
        </w:rPr>
        <w:t>情形</w:t>
      </w:r>
      <w:r>
        <w:rPr>
          <w:rFonts w:eastAsia="楷体_GB2312"/>
        </w:rPr>
        <w:t>1</w:t>
      </w:r>
      <w:r>
        <w:rPr>
          <w:rFonts w:hint="eastAsia" w:eastAsia="楷体_GB2312"/>
        </w:rPr>
        <w:t>：</w:t>
      </w:r>
      <w:r>
        <w:rPr>
          <w:rFonts w:eastAsia="楷体_GB2312"/>
        </w:rPr>
        <w:t>r&gt;R</w:t>
      </w:r>
      <w:r>
        <w:rPr>
          <w:rFonts w:hint="eastAsia" w:eastAsia="楷体_GB2312"/>
        </w:rPr>
        <w:t>，则常熟农商银行实际收取业绩报酬的年化比率为（</w:t>
      </w:r>
      <w:r>
        <w:rPr>
          <w:rFonts w:eastAsia="楷体_GB2312"/>
        </w:rPr>
        <w:t>r-R</w:t>
      </w:r>
      <w:r>
        <w:rPr>
          <w:rFonts w:hint="eastAsia" w:eastAsia="楷体_GB2312"/>
        </w:rPr>
        <w:t>）*</w:t>
      </w:r>
      <w:r>
        <w:rPr>
          <w:rFonts w:eastAsia="楷体_GB2312"/>
        </w:rPr>
        <w:t>80%</w:t>
      </w:r>
      <w:r>
        <w:rPr>
          <w:rFonts w:hint="eastAsia" w:eastAsia="楷体_GB2312"/>
        </w:rPr>
        <w:t>，</w:t>
      </w:r>
      <w:r>
        <w:rPr>
          <w:rFonts w:hint="eastAsia" w:ascii="Times New Roman" w:hAnsi="Times New Roman" w:eastAsia="楷体_GB2312"/>
        </w:rPr>
        <w:t>投资者实际收益为R+</w:t>
      </w:r>
      <w:r>
        <w:rPr>
          <w:rFonts w:hint="eastAsia" w:eastAsia="楷体_GB2312"/>
        </w:rPr>
        <w:t>（</w:t>
      </w:r>
      <w:r>
        <w:rPr>
          <w:rFonts w:eastAsia="楷体_GB2312"/>
        </w:rPr>
        <w:t>r-R</w:t>
      </w:r>
      <w:r>
        <w:rPr>
          <w:rFonts w:hint="eastAsia" w:eastAsia="楷体_GB2312"/>
        </w:rPr>
        <w:t>）*</w:t>
      </w:r>
      <w:r>
        <w:rPr>
          <w:rFonts w:eastAsia="楷体_GB2312"/>
        </w:rPr>
        <w:t>20</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w:t>
      </w:r>
      <w:r>
        <w:rPr>
          <w:rFonts w:eastAsia="楷体_GB2312"/>
        </w:rPr>
        <w:t>0&lt;r</w:t>
      </w:r>
      <w:r>
        <w:rPr>
          <w:rFonts w:hint="eastAsia" w:eastAsia="楷体_GB2312"/>
        </w:rPr>
        <w:t>≤</w:t>
      </w:r>
      <w:r>
        <w:rPr>
          <w:rFonts w:eastAsia="楷体_GB2312"/>
        </w:rPr>
        <w:t>R</w:t>
      </w:r>
      <w:r>
        <w:rPr>
          <w:rFonts w:hint="eastAsia" w:eastAsia="楷体_GB2312"/>
        </w:rPr>
        <w:t>，投资者实际收益为</w:t>
      </w:r>
      <w:r>
        <w:rPr>
          <w:rFonts w:eastAsia="楷体_GB2312"/>
        </w:rPr>
        <w:t>r</w:t>
      </w:r>
      <w:r>
        <w:rPr>
          <w:rFonts w:hint="eastAsia" w:eastAsia="楷体_GB2312"/>
        </w:rPr>
        <w:t>，常熟农商银行不收取业绩报酬。</w:t>
      </w:r>
    </w:p>
    <w:p>
      <w:pPr>
        <w:snapToGrid w:val="0"/>
        <w:spacing w:line="360" w:lineRule="atLeast"/>
        <w:ind w:firstLine="420" w:firstLineChars="200"/>
        <w:rPr>
          <w:rFonts w:eastAsia="楷体_GB2312"/>
        </w:rPr>
      </w:pPr>
      <w:r>
        <w:rPr>
          <w:rFonts w:hint="eastAsia" w:eastAsia="楷体_GB2312"/>
        </w:rPr>
        <w:t>情形</w:t>
      </w:r>
      <w:r>
        <w:rPr>
          <w:rFonts w:eastAsia="楷体_GB2312"/>
        </w:rPr>
        <w:t>3</w:t>
      </w:r>
      <w:r>
        <w:rPr>
          <w:rFonts w:hint="eastAsia" w:eastAsia="楷体_GB2312"/>
        </w:rPr>
        <w:t>：</w:t>
      </w:r>
      <w:r>
        <w:rPr>
          <w:rFonts w:eastAsia="楷体_GB2312"/>
        </w:rPr>
        <w:t>r&lt;0</w:t>
      </w:r>
      <w:r>
        <w:rPr>
          <w:rFonts w:hint="eastAsia" w:eastAsia="楷体_GB2312"/>
        </w:rPr>
        <w:t>，投资者本金发生亏损，无收益，常熟农商银行不收取业绩报酬，在最不利于情形下，投资者可能损失全部本金。</w:t>
      </w:r>
    </w:p>
    <w:p>
      <w:pPr>
        <w:snapToGrid w:val="0"/>
        <w:spacing w:line="360" w:lineRule="atLeast"/>
        <w:ind w:firstLine="422" w:firstLineChars="200"/>
        <w:rPr>
          <w:rFonts w:eastAsia="楷体_GB2312"/>
          <w:b/>
          <w:bCs/>
        </w:rPr>
      </w:pPr>
      <w:r>
        <w:rPr>
          <w:rFonts w:hint="eastAsia" w:eastAsia="楷体_GB2312"/>
          <w:b/>
          <w:bCs/>
        </w:rPr>
        <w:t>收益计算示例：</w:t>
      </w:r>
    </w:p>
    <w:p>
      <w:pPr>
        <w:snapToGrid w:val="0"/>
        <w:spacing w:line="360" w:lineRule="atLeast"/>
        <w:ind w:firstLine="420" w:firstLineChars="200"/>
        <w:rPr>
          <w:rFonts w:eastAsia="楷体_GB2312"/>
        </w:rPr>
      </w:pPr>
      <w:r>
        <w:rPr>
          <w:rFonts w:hint="eastAsia" w:eastAsia="楷体_GB2312"/>
        </w:rPr>
        <w:t>假设</w:t>
      </w:r>
      <w:r>
        <w:rPr>
          <w:rFonts w:hint="eastAsia" w:eastAsia="楷体_GB2312"/>
          <w:lang w:eastAsia="zh-CN"/>
        </w:rPr>
        <w:t>投资者</w:t>
      </w:r>
      <w:r>
        <w:rPr>
          <w:rFonts w:hint="eastAsia" w:eastAsia="楷体_GB2312"/>
        </w:rPr>
        <w:t>申购本产品</w:t>
      </w:r>
      <w:r>
        <w:rPr>
          <w:rFonts w:eastAsia="楷体_GB2312"/>
        </w:rPr>
        <w:t>5</w:t>
      </w:r>
      <w:r>
        <w:rPr>
          <w:rFonts w:hint="eastAsia" w:eastAsia="楷体_GB2312"/>
        </w:rPr>
        <w:t>万元，公布的</w:t>
      </w:r>
      <w:r>
        <w:rPr>
          <w:rFonts w:eastAsia="楷体_GB2312"/>
        </w:rPr>
        <w:t>364</w:t>
      </w:r>
      <w:r>
        <w:rPr>
          <w:rFonts w:hint="eastAsia" w:eastAsia="楷体_GB2312"/>
        </w:rPr>
        <w:t>天业绩比较基准为</w:t>
      </w:r>
      <w:r>
        <w:rPr>
          <w:rFonts w:eastAsia="楷体_GB2312"/>
        </w:rPr>
        <w:t>4.50%</w:t>
      </w:r>
      <w:r>
        <w:rPr>
          <w:rFonts w:hint="eastAsia" w:eastAsia="楷体_GB2312"/>
        </w:rPr>
        <w:t>，假设申购确认时的产品净值为</w:t>
      </w:r>
      <w:r>
        <w:rPr>
          <w:rFonts w:eastAsia="楷体_GB2312"/>
        </w:rPr>
        <w:t>1.00034567</w:t>
      </w:r>
      <w:r>
        <w:rPr>
          <w:rFonts w:hint="eastAsia" w:eastAsia="楷体_GB2312"/>
        </w:rPr>
        <w:t>，</w:t>
      </w:r>
      <w:r>
        <w:rPr>
          <w:rFonts w:hint="eastAsia" w:eastAsia="楷体_GB2312"/>
          <w:lang w:eastAsia="zh-CN"/>
        </w:rPr>
        <w:t>投资者</w:t>
      </w:r>
      <w:r>
        <w:rPr>
          <w:rFonts w:hint="eastAsia" w:eastAsia="楷体_GB2312"/>
        </w:rPr>
        <w:t>确认份额为</w:t>
      </w:r>
      <w:r>
        <w:rPr>
          <w:rFonts w:eastAsia="楷体_GB2312"/>
        </w:rPr>
        <w:t>49982.72</w:t>
      </w:r>
      <w:r>
        <w:rPr>
          <w:rFonts w:hint="eastAsia" w:eastAsia="楷体_GB2312"/>
        </w:rPr>
        <w:t>份。</w:t>
      </w:r>
      <w:r>
        <w:rPr>
          <w:rFonts w:hint="eastAsia" w:eastAsia="楷体_GB2312"/>
          <w:lang w:eastAsia="zh-CN"/>
        </w:rPr>
        <w:t>投资者</w:t>
      </w:r>
      <w:r>
        <w:rPr>
          <w:rFonts w:hint="eastAsia" w:eastAsia="楷体_GB2312"/>
        </w:rPr>
        <w:t>份额运作满</w:t>
      </w:r>
      <w:r>
        <w:rPr>
          <w:rFonts w:eastAsia="楷体_GB2312"/>
        </w:rPr>
        <w:t>364</w:t>
      </w:r>
      <w:r>
        <w:rPr>
          <w:rFonts w:hint="eastAsia" w:eastAsia="楷体_GB2312"/>
        </w:rPr>
        <w:t>天自动赎回退出，根据赎回退出日的产品单位净值计算有以下</w:t>
      </w:r>
      <w:r>
        <w:rPr>
          <w:rFonts w:eastAsia="楷体_GB2312"/>
        </w:rPr>
        <w:t>3</w:t>
      </w:r>
      <w:r>
        <w:rPr>
          <w:rFonts w:hint="eastAsia" w:eastAsia="楷体_GB2312"/>
        </w:rPr>
        <w:t>种情形。</w:t>
      </w:r>
    </w:p>
    <w:p>
      <w:pPr>
        <w:snapToGrid w:val="0"/>
        <w:spacing w:line="360" w:lineRule="atLeast"/>
        <w:ind w:firstLine="420" w:firstLineChars="200"/>
        <w:rPr>
          <w:rFonts w:eastAsia="楷体_GB2312"/>
        </w:rPr>
      </w:pPr>
      <w:r>
        <w:rPr>
          <w:rFonts w:hint="eastAsia" w:eastAsia="楷体_GB2312"/>
        </w:rPr>
        <w:t>情形</w:t>
      </w:r>
      <w:r>
        <w:rPr>
          <w:rFonts w:eastAsia="楷体_GB2312"/>
        </w:rPr>
        <w:t>1</w:t>
      </w:r>
      <w:r>
        <w:rPr>
          <w:rFonts w:hint="eastAsia" w:eastAsia="楷体_GB2312"/>
        </w:rPr>
        <w:t>：假设赎回退出时产品单位净值为1.06399287，</w:t>
      </w:r>
      <w:r>
        <w:rPr>
          <w:rFonts w:hint="eastAsia" w:eastAsia="楷体_GB2312"/>
          <w:lang w:eastAsia="zh-CN"/>
        </w:rPr>
        <w:t>投资者</w:t>
      </w:r>
      <w:r>
        <w:rPr>
          <w:rFonts w:hint="eastAsia" w:eastAsia="楷体_GB2312"/>
        </w:rPr>
        <w:t>份额持有期间净值增长率为</w:t>
      </w:r>
      <w:r>
        <w:rPr>
          <w:rFonts w:eastAsia="楷体_GB2312"/>
        </w:rPr>
        <w:t>6.38%</w:t>
      </w:r>
      <w:r>
        <w:rPr>
          <w:rFonts w:hint="eastAsia" w:eastAsia="楷体_GB2312"/>
        </w:rPr>
        <w:t>（大于业绩比较基准</w:t>
      </w:r>
      <w:r>
        <w:rPr>
          <w:rFonts w:eastAsia="楷体_GB2312"/>
        </w:rPr>
        <w:t>4.50%</w:t>
      </w:r>
      <w:r>
        <w:rPr>
          <w:rFonts w:hint="eastAsia" w:eastAsia="楷体_GB2312"/>
        </w:rPr>
        <w:t>），则常熟农商银行收取</w:t>
      </w:r>
      <w:r>
        <w:rPr>
          <w:rFonts w:eastAsia="楷体_GB2312"/>
        </w:rPr>
        <w:t>1.5%</w:t>
      </w:r>
      <w:r>
        <w:rPr>
          <w:rFonts w:hint="eastAsia" w:eastAsia="楷体_GB2312"/>
        </w:rPr>
        <w:t>的业绩报酬，</w:t>
      </w:r>
      <w:r>
        <w:rPr>
          <w:rFonts w:hint="eastAsia" w:eastAsia="楷体_GB2312"/>
          <w:lang w:eastAsia="zh-CN"/>
        </w:rPr>
        <w:t>投资者</w:t>
      </w:r>
      <w:r>
        <w:rPr>
          <w:rFonts w:hint="eastAsia" w:eastAsia="楷体_GB2312"/>
        </w:rPr>
        <w:t>实际收益率为</w:t>
      </w:r>
      <w:r>
        <w:rPr>
          <w:rFonts w:eastAsia="楷体_GB2312"/>
        </w:rPr>
        <w:t>4.88%</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：假设赎回退出时产品单位净值为1.03236879，</w:t>
      </w:r>
      <w:r>
        <w:rPr>
          <w:rFonts w:hint="eastAsia" w:eastAsia="楷体_GB2312"/>
          <w:lang w:eastAsia="zh-CN"/>
        </w:rPr>
        <w:t>投资者</w:t>
      </w:r>
      <w:r>
        <w:rPr>
          <w:rFonts w:hint="eastAsia" w:eastAsia="楷体_GB2312"/>
        </w:rPr>
        <w:t>份额持有期间净值增长率为</w:t>
      </w:r>
      <w:r>
        <w:rPr>
          <w:rFonts w:eastAsia="楷体_GB2312"/>
        </w:rPr>
        <w:t>3.21%</w:t>
      </w:r>
      <w:r>
        <w:rPr>
          <w:rFonts w:hint="eastAsia" w:eastAsia="楷体_GB2312"/>
        </w:rPr>
        <w:t>，</w:t>
      </w:r>
      <w:r>
        <w:rPr>
          <w:rFonts w:hint="eastAsia" w:eastAsia="楷体_GB2312"/>
          <w:lang w:eastAsia="zh-CN"/>
        </w:rPr>
        <w:t>投资者</w:t>
      </w:r>
      <w:r>
        <w:rPr>
          <w:rFonts w:hint="eastAsia" w:eastAsia="楷体_GB2312"/>
        </w:rPr>
        <w:t>按赎回退出时产品单位净值兑付，</w:t>
      </w:r>
      <w:r>
        <w:rPr>
          <w:rFonts w:hint="eastAsia" w:eastAsia="楷体_GB2312"/>
          <w:lang w:eastAsia="zh-CN"/>
        </w:rPr>
        <w:t>投资者</w:t>
      </w:r>
      <w:r>
        <w:rPr>
          <w:rFonts w:hint="eastAsia" w:eastAsia="楷体_GB2312"/>
        </w:rPr>
        <w:t>实际收益为</w:t>
      </w:r>
      <w:r>
        <w:rPr>
          <w:rFonts w:eastAsia="楷体_GB2312"/>
        </w:rPr>
        <w:t>3.21%</w:t>
      </w:r>
      <w:r>
        <w:rPr>
          <w:rFonts w:hint="eastAsia" w:eastAsia="楷体_GB2312"/>
        </w:rPr>
        <w:t>，常熟农商银行无业绩报酬。</w:t>
      </w:r>
    </w:p>
    <w:p>
      <w:pPr>
        <w:snapToGrid w:val="0"/>
        <w:spacing w:line="360" w:lineRule="atLeast"/>
        <w:ind w:firstLine="420" w:firstLineChars="200"/>
        <w:rPr>
          <w:rFonts w:eastAsia="楷体_GB2312"/>
        </w:rPr>
      </w:pPr>
      <w:r>
        <w:rPr>
          <w:rFonts w:hint="eastAsia" w:eastAsia="楷体_GB2312"/>
        </w:rPr>
        <w:t>情形3：假设赎回退出时产品净值为0.99894902，</w:t>
      </w:r>
      <w:r>
        <w:rPr>
          <w:rFonts w:hint="eastAsia" w:eastAsia="楷体_GB2312"/>
          <w:lang w:eastAsia="zh-CN"/>
        </w:rPr>
        <w:t>投资者</w:t>
      </w:r>
      <w:r>
        <w:rPr>
          <w:rFonts w:hint="eastAsia" w:eastAsia="楷体_GB2312"/>
        </w:rPr>
        <w:t>份额持有期限净值增长率</w:t>
      </w:r>
      <w:r>
        <w:rPr>
          <w:rFonts w:eastAsia="楷体_GB2312"/>
        </w:rPr>
        <w:t>-0.14%</w:t>
      </w:r>
      <w:r>
        <w:rPr>
          <w:rFonts w:hint="eastAsia" w:eastAsia="楷体_GB2312"/>
        </w:rPr>
        <w:t>，</w:t>
      </w:r>
      <w:r>
        <w:rPr>
          <w:rFonts w:hint="eastAsia" w:eastAsia="楷体_GB2312"/>
          <w:lang w:eastAsia="zh-CN"/>
        </w:rPr>
        <w:t>投资者</w:t>
      </w:r>
      <w:r>
        <w:rPr>
          <w:rFonts w:hint="eastAsia" w:eastAsia="楷体_GB2312"/>
        </w:rPr>
        <w:t>按赎回退出日产品单位净值兑付，</w:t>
      </w:r>
      <w:r>
        <w:rPr>
          <w:rFonts w:hint="eastAsia" w:eastAsia="楷体_GB2312"/>
          <w:lang w:eastAsia="zh-CN"/>
        </w:rPr>
        <w:t>投资者</w:t>
      </w:r>
      <w:r>
        <w:rPr>
          <w:rFonts w:hint="eastAsia" w:eastAsia="楷体_GB2312"/>
        </w:rPr>
        <w:t>无收益，实际发生本金损失</w:t>
      </w:r>
      <w:r>
        <w:rPr>
          <w:rFonts w:eastAsia="楷体_GB2312"/>
        </w:rPr>
        <w:t>0.14%</w:t>
      </w:r>
      <w:r>
        <w:rPr>
          <w:rFonts w:hint="eastAsia" w:eastAsia="楷体_GB2312"/>
        </w:rPr>
        <w:t>，常熟农商银行无业绩报酬。</w:t>
      </w:r>
    </w:p>
    <w:p>
      <w:pPr>
        <w:snapToGrid w:val="0"/>
        <w:spacing w:line="360" w:lineRule="atLeast"/>
        <w:ind w:firstLine="361" w:firstLineChars="171"/>
        <w:rPr>
          <w:rFonts w:ascii="Times New Roman" w:hAnsi="Times New Roman" w:eastAsia="楷体_GB2312"/>
          <w:b/>
          <w:bCs/>
        </w:rPr>
      </w:pPr>
      <w:r>
        <w:rPr>
          <w:rFonts w:hint="eastAsia" w:ascii="Times New Roman" w:hAnsi="Times New Roman" w:eastAsia="楷体_GB2312"/>
          <w:b/>
          <w:bCs/>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rPr>
      </w:pPr>
      <w:bookmarkStart w:id="0" w:name="_Toc24442931"/>
      <w:bookmarkStart w:id="1" w:name="_Toc37147666"/>
      <w:bookmarkStart w:id="2" w:name="_Toc24442816"/>
      <w:bookmarkStart w:id="3" w:name="_Toc24442988"/>
    </w:p>
    <w:p>
      <w:pPr>
        <w:pStyle w:val="2"/>
        <w:snapToGrid w:val="0"/>
        <w:spacing w:before="0" w:after="0" w:line="360" w:lineRule="atLeast"/>
        <w:jc w:val="center"/>
        <w:rPr>
          <w:rFonts w:eastAsia="楷体_GB2312"/>
          <w:sz w:val="28"/>
        </w:rPr>
      </w:pPr>
      <w:r>
        <w:rPr>
          <w:rFonts w:hint="eastAsia" w:eastAsia="楷体_GB2312"/>
          <w:sz w:val="28"/>
        </w:rPr>
        <w:t>四、产品的投资范围和投资策略</w:t>
      </w:r>
    </w:p>
    <w:p>
      <w:pPr>
        <w:snapToGrid w:val="0"/>
        <w:spacing w:line="360" w:lineRule="exact"/>
        <w:ind w:firstLine="422" w:firstLineChars="200"/>
        <w:rPr>
          <w:rFonts w:ascii="楷体_GB2312" w:eastAsia="楷体_GB2312"/>
        </w:rPr>
      </w:pPr>
      <w:r>
        <w:rPr>
          <w:rFonts w:hint="eastAsia" w:ascii="楷体_GB2312" w:eastAsia="楷体_GB2312"/>
          <w:b/>
        </w:rPr>
        <w:t>（一）投资范围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本理财产品为</w:t>
      </w:r>
      <w:r>
        <w:rPr>
          <w:rFonts w:hint="eastAsia" w:ascii="楷体_GB2312" w:hAnsi="Times New Roman" w:eastAsia="楷体_GB2312"/>
          <w:b/>
          <w:bCs/>
        </w:rPr>
        <w:t>固定收益类产品，</w:t>
      </w:r>
      <w:r>
        <w:rPr>
          <w:rFonts w:hint="eastAsia" w:ascii="楷体_GB2312" w:hAnsi="Times New Roman" w:eastAsia="楷体_GB2312"/>
        </w:rPr>
        <w:t>募集的资金主要投资于国债、央行票据、金融债、信用等级在 AA（含）以上的债券</w:t>
      </w:r>
      <w:r>
        <w:rPr>
          <w:rFonts w:hint="eastAsia" w:ascii="楷体_GB2312" w:hAnsi="Times New Roman" w:eastAsia="楷体_GB2312"/>
          <w:lang w:eastAsia="zh-CN"/>
        </w:rPr>
        <w:t>等债券资产</w:t>
      </w:r>
      <w:r>
        <w:rPr>
          <w:rFonts w:hint="eastAsia" w:ascii="楷体_GB2312" w:hAnsi="Times New Roman" w:eastAsia="楷体_GB2312"/>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本产品拟配置资产的比例为存款、货币基金等现金类资产</w:t>
      </w:r>
      <w:r>
        <w:rPr>
          <w:rFonts w:hint="eastAsia" w:ascii="楷体_GB2312" w:hAnsi="Times New Roman" w:eastAsia="楷体_GB2312"/>
          <w:b/>
          <w:bCs/>
        </w:rPr>
        <w:t xml:space="preserve"> 0-30%</w:t>
      </w:r>
      <w:r>
        <w:rPr>
          <w:rFonts w:hint="eastAsia" w:ascii="楷体_GB2312" w:hAnsi="Times New Roman" w:eastAsia="楷体_GB2312"/>
        </w:rPr>
        <w:t>，债券资产、同业存单、同业拆借、回购、债券基金</w:t>
      </w:r>
      <w:r>
        <w:rPr>
          <w:rFonts w:ascii="楷体_GB2312" w:hAnsi="Times New Roman" w:eastAsia="楷体_GB2312"/>
          <w:b/>
          <w:bCs/>
        </w:rPr>
        <w:t>3</w:t>
      </w:r>
      <w:r>
        <w:rPr>
          <w:rFonts w:hint="eastAsia" w:ascii="楷体_GB2312" w:hAnsi="Times New Roman" w:eastAsia="楷体_GB2312"/>
          <w:b/>
          <w:bCs/>
        </w:rPr>
        <w:t>0-100%</w:t>
      </w:r>
      <w:r>
        <w:rPr>
          <w:rFonts w:hint="eastAsia" w:ascii="楷体_GB2312" w:hAnsi="Times New Roman" w:eastAsia="楷体_GB2312"/>
        </w:rPr>
        <w:t>，同业借款、理财直融工具、债权融资计划及其他符合监管要求的债权类资产</w:t>
      </w:r>
      <w:r>
        <w:rPr>
          <w:rFonts w:hint="eastAsia" w:ascii="楷体_GB2312" w:hAnsi="Times New Roman" w:eastAsia="楷体_GB2312"/>
          <w:b/>
          <w:bCs/>
        </w:rPr>
        <w:t>0-20%</w:t>
      </w:r>
      <w:r>
        <w:rPr>
          <w:rFonts w:hint="eastAsia" w:ascii="楷体_GB2312" w:hAnsi="Times New Roman" w:eastAsia="楷体_GB2312"/>
        </w:rPr>
        <w:t>，股票型基金、混合型基金等权益类资产，以及金融衍生品等</w:t>
      </w:r>
      <w:r>
        <w:rPr>
          <w:rFonts w:hint="eastAsia" w:ascii="楷体_GB2312" w:hAnsi="Times New Roman" w:eastAsia="楷体_GB2312"/>
          <w:b/>
          <w:bCs/>
        </w:rPr>
        <w:t>0-20%</w:t>
      </w:r>
      <w:r>
        <w:rPr>
          <w:rFonts w:hint="eastAsia" w:ascii="楷体_GB2312" w:hAnsi="Times New Roman" w:eastAsia="楷体_GB2312"/>
        </w:rPr>
        <w:t>。</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本产品总资产不超过本产品净资产的140%。</w:t>
      </w:r>
    </w:p>
    <w:p>
      <w:pPr>
        <w:snapToGrid w:val="0"/>
        <w:spacing w:line="360" w:lineRule="exact"/>
        <w:ind w:firstLine="420" w:firstLineChars="200"/>
        <w:rPr>
          <w:rFonts w:ascii="Times New Roman" w:hAnsi="Times New Roman" w:eastAsia="楷体_GB2312"/>
        </w:rPr>
      </w:pPr>
      <w:r>
        <w:rPr>
          <w:rFonts w:hint="eastAsia" w:ascii="Times New Roman" w:hAnsi="Times New Roman" w:eastAsia="楷体_GB2312"/>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rPr>
      </w:pPr>
      <w:r>
        <w:rPr>
          <w:rFonts w:hint="eastAsia" w:ascii="Times New Roman" w:hAnsi="Times New Roman" w:eastAsia="楷体_GB2312"/>
        </w:rPr>
        <w:t>本产品配置资产包含</w:t>
      </w:r>
      <w:r>
        <w:rPr>
          <w:rFonts w:hint="eastAsia" w:ascii="Times New Roman" w:hAnsi="Times New Roman" w:eastAsia="楷体_GB2312"/>
          <w:b/>
          <w:bCs/>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szCs w:val="21"/>
        </w:rPr>
        <w:t>由于自然灾害、政府管制、现行法律或法规变更、通讯延迟或中断以及其他特殊情况导致系统及网络无法正常运行</w:t>
      </w:r>
      <w:r>
        <w:rPr>
          <w:rFonts w:hint="eastAsia" w:ascii="Times New Roman" w:hAnsi="Times New Roman" w:eastAsia="楷体_GB2312"/>
          <w:b/>
          <w:bCs/>
        </w:rPr>
        <w:t>，产生损失</w:t>
      </w:r>
      <w:r>
        <w:rPr>
          <w:rFonts w:hint="eastAsia" w:ascii="Times New Roman" w:hAnsi="Times New Roman" w:eastAsia="楷体_GB2312"/>
        </w:rPr>
        <w:t>。</w:t>
      </w:r>
    </w:p>
    <w:p>
      <w:pPr>
        <w:snapToGrid w:val="0"/>
        <w:spacing w:line="360" w:lineRule="exact"/>
        <w:ind w:firstLine="422" w:firstLineChars="200"/>
        <w:rPr>
          <w:rFonts w:ascii="楷体_GB2312" w:eastAsia="楷体_GB2312"/>
        </w:rPr>
      </w:pPr>
      <w:r>
        <w:rPr>
          <w:rFonts w:hint="eastAsia" w:ascii="楷体_GB2312" w:eastAsia="楷体_GB2312"/>
          <w:b/>
        </w:rPr>
        <w:t>（二）投资策略</w:t>
      </w:r>
    </w:p>
    <w:p>
      <w:pPr>
        <w:snapToGrid w:val="0"/>
        <w:spacing w:line="360" w:lineRule="exact"/>
        <w:ind w:firstLine="420" w:firstLineChars="200"/>
        <w:rPr>
          <w:rFonts w:ascii="楷体_GB2312" w:eastAsia="楷体_GB2312"/>
        </w:rPr>
      </w:pPr>
      <w:r>
        <w:rPr>
          <w:rFonts w:hint="eastAsia" w:ascii="楷体_GB2312" w:eastAsia="楷体_GB2312"/>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rPr>
      </w:pPr>
    </w:p>
    <w:p>
      <w:pPr>
        <w:pStyle w:val="2"/>
        <w:snapToGrid w:val="0"/>
        <w:spacing w:before="0" w:after="0" w:line="360" w:lineRule="atLeast"/>
        <w:jc w:val="center"/>
        <w:rPr>
          <w:rFonts w:eastAsia="楷体_GB2312"/>
          <w:sz w:val="28"/>
          <w:szCs w:val="28"/>
        </w:rPr>
      </w:pPr>
      <w:r>
        <w:rPr>
          <w:rFonts w:hint="eastAsia" w:eastAsia="楷体_GB2312"/>
          <w:sz w:val="28"/>
          <w:szCs w:val="28"/>
        </w:rPr>
        <w:t>五、</w:t>
      </w:r>
      <w:r>
        <w:rPr>
          <w:rFonts w:eastAsia="楷体_GB2312"/>
          <w:sz w:val="28"/>
          <w:szCs w:val="28"/>
        </w:rPr>
        <w:t>产品的</w:t>
      </w:r>
      <w:r>
        <w:rPr>
          <w:rFonts w:hint="eastAsia" w:eastAsia="楷体_GB2312"/>
          <w:sz w:val="28"/>
          <w:szCs w:val="28"/>
        </w:rPr>
        <w:t>提前</w:t>
      </w:r>
      <w:r>
        <w:rPr>
          <w:rFonts w:eastAsia="楷体_GB2312"/>
          <w:sz w:val="28"/>
          <w:szCs w:val="28"/>
        </w:rPr>
        <w:t>终止</w:t>
      </w:r>
    </w:p>
    <w:p>
      <w:pPr>
        <w:spacing w:beforeLines="0" w:afterLines="0" w:line="360" w:lineRule="exact"/>
        <w:ind w:firstLine="422" w:firstLineChars="200"/>
        <w:rPr>
          <w:rFonts w:ascii="楷体_GB2312" w:eastAsia="楷体_GB2312"/>
          <w:b/>
          <w:bCs/>
          <w:szCs w:val="21"/>
        </w:rPr>
      </w:pPr>
      <w:r>
        <w:rPr>
          <w:rFonts w:hint="eastAsia" w:ascii="楷体_GB2312" w:eastAsia="楷体_GB2312"/>
          <w:b/>
          <w:bCs/>
          <w:szCs w:val="21"/>
        </w:rPr>
        <w:t>（一）出现以下任一情况，常熟农商银行有权提前终止本理财产品：</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1</w:t>
      </w:r>
      <w:r>
        <w:rPr>
          <w:rFonts w:hint="eastAsia" w:ascii="楷体_GB2312" w:eastAsia="楷体_GB2312"/>
          <w:b/>
          <w:bCs/>
          <w:szCs w:val="21"/>
        </w:rPr>
        <w:t>、若本理财产品当日份额低于</w:t>
      </w:r>
      <w:r>
        <w:rPr>
          <w:rFonts w:ascii="楷体_GB2312" w:eastAsia="楷体_GB2312"/>
          <w:b/>
          <w:bCs/>
          <w:szCs w:val="21"/>
          <w:u w:val="single"/>
        </w:rPr>
        <w:t>500</w:t>
      </w:r>
      <w:r>
        <w:rPr>
          <w:rFonts w:hint="eastAsia" w:ascii="楷体_GB2312" w:eastAsia="楷体_GB2312"/>
          <w:b/>
          <w:bCs/>
          <w:szCs w:val="21"/>
          <w:u w:val="single"/>
        </w:rPr>
        <w:t>万</w:t>
      </w:r>
      <w:r>
        <w:rPr>
          <w:rFonts w:hint="eastAsia" w:ascii="楷体_GB2312" w:eastAsia="楷体_GB2312"/>
          <w:b/>
          <w:bCs/>
          <w:szCs w:val="21"/>
        </w:rPr>
        <w:t>份时；</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2</w:t>
      </w:r>
      <w:r>
        <w:rPr>
          <w:rFonts w:hint="eastAsia" w:ascii="楷体_GB2312" w:eastAsia="楷体_GB2312"/>
          <w:b/>
          <w:bCs/>
          <w:szCs w:val="21"/>
        </w:rPr>
        <w:t>、监管机构要求或法律法规规定的其它情形导致本产品终止；</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3</w:t>
      </w:r>
      <w:r>
        <w:rPr>
          <w:rFonts w:hint="eastAsia" w:ascii="楷体_GB2312" w:eastAsia="楷体_GB2312"/>
          <w:b/>
          <w:bCs/>
          <w:szCs w:val="21"/>
        </w:rPr>
        <w:t>、管理人根据市场情况认为需要提前终止本产品。</w:t>
      </w:r>
    </w:p>
    <w:p>
      <w:pPr>
        <w:autoSpaceDE w:val="0"/>
        <w:autoSpaceDN w:val="0"/>
        <w:adjustRightInd w:val="0"/>
        <w:spacing w:beforeLines="0" w:afterLines="0" w:line="360" w:lineRule="atLeast"/>
        <w:ind w:firstLine="420" w:firstLineChars="200"/>
        <w:jc w:val="left"/>
      </w:pPr>
      <w:r>
        <w:rPr>
          <w:rFonts w:hint="eastAsia" w:eastAsia="楷体_GB2312"/>
          <w:bCs/>
        </w:rPr>
        <w:t>（二）若常熟农商银行宣布提前终止本理财产品，将提</w:t>
      </w:r>
      <w:r>
        <w:rPr>
          <w:rFonts w:hint="eastAsia" w:eastAsia="楷体_GB2312"/>
          <w:bCs/>
          <w:lang w:eastAsia="zh-CN"/>
        </w:rPr>
        <w:t>前</w:t>
      </w:r>
      <w:r>
        <w:rPr>
          <w:rFonts w:hint="eastAsia" w:eastAsia="楷体_GB2312"/>
          <w:bCs/>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24442823"/>
      <w:bookmarkStart w:id="5" w:name="_Toc37147671"/>
      <w:bookmarkStart w:id="6" w:name="_Toc24442938"/>
      <w:bookmarkStart w:id="7" w:name="_Toc24442995"/>
    </w:p>
    <w:p>
      <w:pPr>
        <w:pStyle w:val="2"/>
        <w:snapToGrid w:val="0"/>
        <w:spacing w:before="0" w:after="0" w:line="360" w:lineRule="atLeast"/>
        <w:jc w:val="center"/>
        <w:rPr>
          <w:rFonts w:eastAsia="楷体_GB2312"/>
          <w:sz w:val="28"/>
        </w:rPr>
      </w:pPr>
    </w:p>
    <w:p>
      <w:pPr>
        <w:pStyle w:val="2"/>
        <w:spacing w:before="0" w:after="0" w:line="360" w:lineRule="atLeast"/>
        <w:jc w:val="center"/>
        <w:rPr>
          <w:rFonts w:eastAsia="楷体_GB2312"/>
          <w:sz w:val="28"/>
        </w:rPr>
      </w:pPr>
      <w:r>
        <w:rPr>
          <w:rFonts w:hint="eastAsia" w:eastAsia="楷体_GB2312"/>
          <w:sz w:val="28"/>
        </w:rPr>
        <w:t>六、产品估值</w:t>
      </w:r>
      <w:bookmarkEnd w:id="4"/>
      <w:bookmarkEnd w:id="5"/>
      <w:bookmarkEnd w:id="6"/>
      <w:bookmarkEnd w:id="7"/>
    </w:p>
    <w:p>
      <w:pPr>
        <w:snapToGrid w:val="0"/>
        <w:spacing w:line="360" w:lineRule="exact"/>
        <w:ind w:firstLine="422" w:firstLineChars="200"/>
        <w:rPr>
          <w:rFonts w:ascii="楷体_GB2312" w:eastAsia="楷体_GB2312"/>
          <w:b/>
        </w:rPr>
      </w:pPr>
      <w:r>
        <w:rPr>
          <w:rFonts w:hint="eastAsia" w:ascii="楷体_GB2312" w:eastAsia="楷体_GB2312"/>
          <w:b/>
        </w:rPr>
        <w:t>（一）产品估值</w:t>
      </w:r>
    </w:p>
    <w:p>
      <w:pPr>
        <w:snapToGrid w:val="0"/>
        <w:spacing w:line="360" w:lineRule="exact"/>
        <w:ind w:firstLine="420" w:firstLineChars="200"/>
        <w:rPr>
          <w:rFonts w:ascii="楷体_GB2312" w:eastAsia="楷体_GB2312"/>
        </w:rPr>
      </w:pPr>
      <w:r>
        <w:rPr>
          <w:rFonts w:hint="eastAsia" w:ascii="楷体_GB2312" w:eastAsia="楷体_GB2312"/>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rPr>
      </w:pPr>
      <w:r>
        <w:rPr>
          <w:rFonts w:hint="eastAsia" w:ascii="楷体_GB2312" w:eastAsia="楷体_GB2312"/>
          <w:b/>
        </w:rPr>
        <w:t>（二）估值方法</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1</w:t>
      </w:r>
      <w:r>
        <w:rPr>
          <w:rFonts w:hint="eastAsia" w:ascii="楷体_GB2312" w:hAnsi="Times New Roman" w:eastAsia="楷体_GB2312"/>
        </w:rPr>
        <w:t>、货币市场工具类的估值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）银行存款以本金列示，逐日计提利息；</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）货币基金以当日基金净值估值。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2</w:t>
      </w:r>
      <w:r>
        <w:rPr>
          <w:rFonts w:hint="eastAsia" w:ascii="楷体_GB2312" w:hAnsi="Times New Roman" w:eastAsia="楷体_GB2312"/>
        </w:rPr>
        <w:t>、债券类的估值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）以持有到期为目的持有的债券按摊余成本法估值；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）以交易为目的持有的债券按市价法估值。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3</w:t>
      </w:r>
      <w:r>
        <w:rPr>
          <w:rFonts w:hint="eastAsia" w:ascii="楷体_GB2312" w:hAnsi="Times New Roman" w:eastAsia="楷体_GB2312"/>
        </w:rPr>
        <w:t>、债权类项目的估值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）非标债权类项目以摊余成本法估值；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4</w:t>
      </w:r>
      <w:r>
        <w:rPr>
          <w:rFonts w:hint="eastAsia" w:ascii="楷体_GB2312" w:hAnsi="Times New Roman" w:eastAsia="楷体_GB2312"/>
        </w:rPr>
        <w:t>、其他资产类估值：采用监管及市场认可的估值方法计算公允价值。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5</w:t>
      </w:r>
      <w:r>
        <w:rPr>
          <w:rFonts w:hint="eastAsia" w:ascii="楷体_GB2312" w:hAnsi="Times New Roman" w:eastAsia="楷体_GB2312"/>
        </w:rPr>
        <w:t>、国家有最新规定的，按其规定进行估值。</w:t>
      </w:r>
    </w:p>
    <w:p>
      <w:pPr>
        <w:snapToGrid w:val="0"/>
        <w:spacing w:line="360" w:lineRule="exact"/>
        <w:ind w:firstLine="420" w:firstLineChars="200"/>
        <w:rPr>
          <w:rFonts w:ascii="楷体_GB2312" w:eastAsia="楷体_GB2312"/>
        </w:rPr>
      </w:pPr>
      <w:r>
        <w:rPr>
          <w:rFonts w:ascii="楷体_GB2312" w:hAnsi="Times New Roman" w:eastAsia="楷体_GB2312"/>
        </w:rPr>
        <w:t>6</w:t>
      </w:r>
      <w:r>
        <w:rPr>
          <w:rFonts w:hint="eastAsia" w:ascii="楷体_GB2312" w:hAnsi="Times New Roman" w:eastAsia="楷体_GB2312"/>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rPr>
      </w:pPr>
      <w:r>
        <w:rPr>
          <w:rFonts w:hint="eastAsia" w:ascii="楷体_GB2312" w:eastAsia="楷体_GB2312"/>
          <w:b/>
        </w:rPr>
        <w:t>（三）暂停估值</w:t>
      </w:r>
    </w:p>
    <w:p>
      <w:pPr>
        <w:snapToGrid w:val="0"/>
        <w:spacing w:line="360" w:lineRule="exact"/>
        <w:ind w:firstLine="420" w:firstLineChars="200"/>
        <w:rPr>
          <w:rFonts w:ascii="楷体_GB2312" w:eastAsia="楷体_GB2312"/>
        </w:rPr>
      </w:pPr>
      <w:r>
        <w:rPr>
          <w:rFonts w:hint="eastAsia" w:ascii="楷体_GB2312" w:eastAsia="楷体_GB2312"/>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rPr>
      </w:pPr>
    </w:p>
    <w:p>
      <w:pPr>
        <w:pStyle w:val="2"/>
        <w:spacing w:before="0" w:after="0" w:line="360" w:lineRule="atLeast"/>
        <w:jc w:val="center"/>
        <w:rPr>
          <w:rFonts w:eastAsia="楷体_GB2312"/>
          <w:sz w:val="28"/>
          <w:szCs w:val="28"/>
        </w:rPr>
      </w:pPr>
      <w:r>
        <w:rPr>
          <w:rFonts w:hint="eastAsia" w:eastAsia="楷体_GB2312"/>
          <w:sz w:val="28"/>
          <w:szCs w:val="28"/>
        </w:rPr>
        <w:t>七、产品托管</w:t>
      </w:r>
    </w:p>
    <w:p>
      <w:pPr>
        <w:snapToGrid w:val="0"/>
        <w:spacing w:line="360" w:lineRule="exact"/>
        <w:ind w:firstLine="420" w:firstLineChars="200"/>
      </w:pPr>
      <w:r>
        <w:rPr>
          <w:rFonts w:ascii="楷体_GB2312" w:eastAsia="楷体_GB2312"/>
          <w:szCs w:val="21"/>
        </w:rPr>
        <w:t>1</w:t>
      </w:r>
      <w:r>
        <w:rPr>
          <w:rFonts w:hint="eastAsia" w:ascii="楷体_GB2312" w:eastAsia="楷体_GB2312"/>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、托管人职责</w:t>
      </w:r>
    </w:p>
    <w:p>
      <w:pPr>
        <w:snapToGrid w:val="0"/>
        <w:spacing w:line="360" w:lineRule="exact"/>
        <w:ind w:firstLine="420" w:firstLineChars="200"/>
        <w:rPr>
          <w:rFonts w:ascii="楷体_GB2312" w:eastAsia="楷体_GB2312"/>
          <w:szCs w:val="21"/>
        </w:rPr>
      </w:pPr>
      <w:r>
        <w:rPr>
          <w:rFonts w:ascii="楷体_GB2312" w:eastAsia="楷体_GB2312"/>
          <w:szCs w:val="21"/>
        </w:rPr>
        <w:t>(1)</w:t>
      </w:r>
      <w:r>
        <w:rPr>
          <w:rFonts w:hint="eastAsia" w:ascii="楷体_GB2312" w:eastAsia="楷体_GB2312"/>
          <w:szCs w:val="21"/>
        </w:rPr>
        <w:t>安全保管理财产品财产；</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按照托管协议约定和产品管理人的投资指令，及时办理清算、交割事宜；</w:t>
      </w:r>
    </w:p>
    <w:p>
      <w:pPr>
        <w:snapToGrid w:val="0"/>
        <w:spacing w:line="360" w:lineRule="exact"/>
        <w:ind w:firstLine="420" w:firstLineChars="200"/>
        <w:rPr>
          <w:rFonts w:ascii="楷体_GB2312" w:eastAsia="楷体_GB2312"/>
          <w:szCs w:val="21"/>
        </w:rPr>
      </w:pPr>
      <w:r>
        <w:rPr>
          <w:rFonts w:ascii="楷体_GB2312" w:eastAsia="楷体_GB2312"/>
          <w:szCs w:val="21"/>
        </w:rPr>
        <w:t>(3)</w:t>
      </w:r>
      <w:r>
        <w:rPr>
          <w:rFonts w:hint="eastAsia" w:ascii="楷体_GB2312" w:eastAsia="楷体_GB2312"/>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szCs w:val="21"/>
        </w:rPr>
      </w:pPr>
      <w:r>
        <w:rPr>
          <w:rFonts w:ascii="楷体_GB2312" w:eastAsia="楷体_GB2312"/>
          <w:szCs w:val="21"/>
        </w:rPr>
        <w:t>(4)</w:t>
      </w:r>
      <w:r>
        <w:rPr>
          <w:rFonts w:hint="eastAsia" w:ascii="楷体_GB2312" w:eastAsia="楷体_GB2312"/>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szCs w:val="21"/>
        </w:rPr>
      </w:pPr>
      <w:r>
        <w:rPr>
          <w:rFonts w:ascii="楷体_GB2312" w:eastAsia="楷体_GB2312"/>
          <w:szCs w:val="21"/>
        </w:rPr>
        <w:t>(5)</w:t>
      </w:r>
      <w:r>
        <w:rPr>
          <w:rFonts w:hint="eastAsia" w:ascii="楷体_GB2312" w:eastAsia="楷体_GB2312"/>
          <w:szCs w:val="21"/>
        </w:rPr>
        <w:t>国务院银行业监督管理机构规定的其他职责。</w:t>
      </w:r>
    </w:p>
    <w:p>
      <w:pPr>
        <w:snapToGrid w:val="0"/>
        <w:spacing w:line="360" w:lineRule="exact"/>
        <w:ind w:firstLine="420" w:firstLineChars="200"/>
        <w:rPr>
          <w:rFonts w:ascii="楷体_GB2312" w:eastAsia="楷体_GB2312"/>
          <w:szCs w:val="21"/>
        </w:rPr>
      </w:pPr>
    </w:p>
    <w:p>
      <w:pPr>
        <w:pStyle w:val="2"/>
        <w:spacing w:before="0" w:after="0" w:line="360" w:lineRule="atLeast"/>
        <w:jc w:val="center"/>
        <w:rPr>
          <w:rFonts w:eastAsia="楷体_GB2312"/>
          <w:sz w:val="28"/>
        </w:rPr>
      </w:pPr>
      <w:r>
        <w:rPr>
          <w:rFonts w:hint="eastAsia" w:eastAsia="楷体_GB2312"/>
          <w:sz w:val="28"/>
        </w:rPr>
        <w:t>八、信息披露</w:t>
      </w:r>
    </w:p>
    <w:p>
      <w:pPr>
        <w:snapToGrid w:val="0"/>
        <w:spacing w:line="360" w:lineRule="exact"/>
        <w:ind w:firstLine="422" w:firstLineChars="200"/>
        <w:rPr>
          <w:rFonts w:ascii="楷体_GB2312" w:eastAsia="楷体_GB2312"/>
          <w:b/>
          <w:bCs/>
        </w:rPr>
      </w:pPr>
      <w:r>
        <w:rPr>
          <w:rFonts w:hint="eastAsia" w:ascii="楷体_GB2312" w:eastAsia="楷体_GB2312"/>
          <w:b/>
          <w:bCs/>
        </w:rPr>
        <w:t>（一）产品募集信息披露</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、产品说明书</w:t>
      </w:r>
    </w:p>
    <w:p>
      <w:pPr>
        <w:snapToGrid w:val="0"/>
        <w:spacing w:line="360" w:lineRule="exact"/>
        <w:ind w:firstLine="420" w:firstLineChars="200"/>
        <w:rPr>
          <w:rFonts w:ascii="楷体_GB2312" w:eastAsia="楷体_GB2312"/>
        </w:rPr>
      </w:pPr>
      <w:r>
        <w:rPr>
          <w:rFonts w:hint="eastAsia" w:ascii="楷体_GB2312" w:eastAsia="楷体_GB2312"/>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、产品成立报告</w:t>
      </w:r>
    </w:p>
    <w:p>
      <w:pPr>
        <w:snapToGrid w:val="0"/>
        <w:spacing w:line="360" w:lineRule="exact"/>
        <w:ind w:firstLine="420" w:firstLineChars="200"/>
        <w:rPr>
          <w:rFonts w:ascii="楷体_GB2312" w:eastAsia="楷体_GB2312"/>
        </w:rPr>
      </w:pPr>
      <w:r>
        <w:rPr>
          <w:rFonts w:hint="eastAsia" w:ascii="楷体_GB2312" w:eastAsia="楷体_GB2312"/>
        </w:rPr>
        <w:t>产品管理人应当在产品成立后</w:t>
      </w:r>
      <w:r>
        <w:rPr>
          <w:rFonts w:hint="eastAsia" w:ascii="楷体_GB2312" w:eastAsia="楷体_GB2312"/>
          <w:szCs w:val="21"/>
        </w:rPr>
        <w:t>五个工作日在产品管理人官方网站上发布产品成立公告</w:t>
      </w:r>
      <w:r>
        <w:rPr>
          <w:rFonts w:hint="eastAsia" w:ascii="楷体_GB2312" w:eastAsia="楷体_GB2312"/>
        </w:rPr>
        <w:t>。</w:t>
      </w:r>
    </w:p>
    <w:p>
      <w:pPr>
        <w:snapToGrid w:val="0"/>
        <w:spacing w:line="360" w:lineRule="exact"/>
        <w:ind w:firstLine="422" w:firstLineChars="200"/>
        <w:rPr>
          <w:rFonts w:ascii="楷体_GB2312" w:eastAsia="楷体_GB2312"/>
          <w:b/>
          <w:bCs/>
        </w:rPr>
      </w:pPr>
      <w:r>
        <w:rPr>
          <w:rFonts w:hint="eastAsia" w:ascii="楷体_GB2312" w:eastAsia="楷体_GB2312"/>
          <w:b/>
          <w:bCs/>
        </w:rPr>
        <w:t>（二）产品运作信息披露</w:t>
      </w:r>
    </w:p>
    <w:p>
      <w:pPr>
        <w:snapToGrid w:val="0"/>
        <w:spacing w:line="360" w:lineRule="exact"/>
        <w:ind w:firstLine="420" w:firstLineChars="200"/>
        <w:rPr>
          <w:rFonts w:ascii="楷体_GB2312" w:eastAsia="楷体_GB2312"/>
        </w:rPr>
      </w:pPr>
      <w:r>
        <w:rPr>
          <w:rFonts w:hint="eastAsia" w:ascii="楷体_GB2312" w:eastAsia="楷体_GB2312"/>
        </w:rPr>
        <w:t>产品净值公告</w:t>
      </w:r>
    </w:p>
    <w:p>
      <w:pPr>
        <w:snapToGrid w:val="0"/>
        <w:spacing w:line="360" w:lineRule="exact"/>
        <w:ind w:firstLine="420" w:firstLineChars="200"/>
        <w:rPr>
          <w:rFonts w:ascii="楷体_GB2312" w:eastAsia="楷体_GB2312"/>
        </w:rPr>
      </w:pPr>
      <w:r>
        <w:rPr>
          <w:rFonts w:hint="eastAsia" w:ascii="楷体_GB2312" w:eastAsia="楷体_GB2312"/>
        </w:rPr>
        <w:t>管理人将在每个申购确认日</w:t>
      </w:r>
      <w:r>
        <w:rPr>
          <w:rFonts w:ascii="楷体_GB2312" w:eastAsia="楷体_GB2312"/>
        </w:rPr>
        <w:t>/</w:t>
      </w:r>
      <w:r>
        <w:rPr>
          <w:rFonts w:hint="eastAsia" w:ascii="楷体_GB2312" w:eastAsia="楷体_GB2312"/>
        </w:rPr>
        <w:t>赎回兑付日后</w:t>
      </w:r>
      <w:r>
        <w:rPr>
          <w:rFonts w:ascii="楷体_GB2312" w:eastAsia="楷体_GB2312"/>
        </w:rPr>
        <w:t>2</w:t>
      </w:r>
      <w:r>
        <w:rPr>
          <w:rFonts w:hint="eastAsia" w:ascii="楷体_GB2312" w:eastAsia="楷体_GB2312"/>
        </w:rPr>
        <w:t>个工作日内通过官方网站披露最新的单位产品净值。</w:t>
      </w:r>
    </w:p>
    <w:p>
      <w:pPr>
        <w:snapToGrid w:val="0"/>
        <w:spacing w:line="360" w:lineRule="exact"/>
        <w:ind w:firstLine="420" w:firstLineChars="200"/>
        <w:rPr>
          <w:rFonts w:ascii="楷体_GB2312" w:eastAsia="楷体_GB2312"/>
        </w:rPr>
      </w:pPr>
      <w:r>
        <w:rPr>
          <w:rFonts w:hint="eastAsia" w:ascii="楷体_GB2312" w:eastAsia="楷体_GB2312"/>
        </w:rPr>
        <w:t>本产品存续期内，至少每月向投资者提供其所持有的理财产品账单。</w:t>
      </w:r>
    </w:p>
    <w:p>
      <w:pPr>
        <w:snapToGrid w:val="0"/>
        <w:spacing w:line="360" w:lineRule="exact"/>
        <w:ind w:firstLine="420" w:firstLineChars="200"/>
        <w:rPr>
          <w:rFonts w:ascii="楷体_GB2312" w:eastAsia="楷体_GB2312"/>
        </w:rPr>
      </w:pPr>
      <w:r>
        <w:rPr>
          <w:rFonts w:hint="eastAsia" w:ascii="楷体_GB2312" w:eastAsia="楷体_GB2312"/>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rPr>
      </w:pPr>
      <w:r>
        <w:rPr>
          <w:rFonts w:hint="eastAsia" w:ascii="楷体_GB2312" w:eastAsia="楷体_GB2312"/>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（三）重大事项公告及临时信息披露</w:t>
      </w:r>
    </w:p>
    <w:p>
      <w:pPr>
        <w:snapToGrid w:val="0"/>
        <w:spacing w:line="360" w:lineRule="exact"/>
        <w:ind w:firstLine="422" w:firstLineChars="200"/>
        <w:rPr>
          <w:rFonts w:ascii="楷体_GB2312" w:eastAsia="楷体_GB2312"/>
          <w:szCs w:val="21"/>
        </w:rPr>
      </w:pPr>
      <w:r>
        <w:rPr>
          <w:rFonts w:hint="eastAsia" w:ascii="楷体_GB2312" w:eastAsia="楷体_GB2312"/>
          <w:b/>
          <w:bCs/>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（四）到期公告</w:t>
      </w:r>
    </w:p>
    <w:p>
      <w:pPr>
        <w:snapToGrid w:val="0"/>
        <w:spacing w:line="360" w:lineRule="exact"/>
        <w:ind w:firstLine="420" w:firstLineChars="200"/>
        <w:rPr>
          <w:rFonts w:ascii="楷体_GB2312" w:eastAsia="楷体_GB2312"/>
          <w:szCs w:val="21"/>
        </w:rPr>
      </w:pPr>
      <w:r>
        <w:rPr>
          <w:rFonts w:hint="eastAsia" w:ascii="楷体_GB2312" w:eastAsia="楷体_GB2312"/>
        </w:rPr>
        <w:t>本产品到期后五个工作日内，产品管理人将</w:t>
      </w:r>
      <w:r>
        <w:rPr>
          <w:rFonts w:hint="eastAsia" w:ascii="楷体_GB2312" w:eastAsia="楷体_GB2312"/>
          <w:szCs w:val="21"/>
        </w:rPr>
        <w:t>在产品管理人官方网站上</w:t>
      </w:r>
      <w:r>
        <w:rPr>
          <w:rFonts w:hint="eastAsia" w:ascii="楷体_GB2312" w:eastAsia="楷体_GB2312"/>
        </w:rPr>
        <w:t>披露到期报告。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（五）信息披露文件查询途径</w:t>
      </w:r>
    </w:p>
    <w:p>
      <w:pPr>
        <w:snapToGrid w:val="0"/>
        <w:spacing w:line="360" w:lineRule="exact"/>
        <w:ind w:firstLine="422" w:firstLineChars="200"/>
        <w:rPr>
          <w:rFonts w:ascii="楷体_GB2312" w:eastAsia="楷体_GB2312"/>
          <w:b/>
          <w:bCs/>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szCs w:val="21"/>
        </w:rPr>
        <w:t>除本产品说明书中另有约定之外，投资者可按照《投资者权益须知》约定途径查阅相关的信息披露文件。</w:t>
      </w:r>
    </w:p>
    <w:p>
      <w:pPr>
        <w:tabs>
          <w:tab w:val="left" w:pos="4536"/>
        </w:tabs>
        <w:jc w:val="left"/>
        <w:rPr>
          <w:rFonts w:ascii="宋体" w:hAnsi="宋体"/>
          <w:b/>
          <w:sz w:val="18"/>
          <w:szCs w:val="18"/>
        </w:rPr>
      </w:pPr>
      <w:r>
        <w:rPr>
          <w:rFonts w:hint="eastAsia" w:ascii="宋体" w:hAnsi="宋体"/>
          <w:b/>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spacing w:val="40"/>
          <w:sz w:val="28"/>
          <w:szCs w:val="28"/>
        </w:rPr>
      </w:pPr>
      <w:r>
        <w:rPr>
          <w:rFonts w:hint="eastAsia" w:ascii="宋体" w:hAnsi="宋体"/>
          <w:b/>
          <w:bCs/>
          <w:spacing w:val="40"/>
          <w:sz w:val="28"/>
          <w:szCs w:val="28"/>
        </w:rPr>
        <w:t>风险揭示书</w:t>
      </w:r>
    </w:p>
    <w:p>
      <w:pPr>
        <w:jc w:val="center"/>
      </w:pPr>
    </w:p>
    <w:p>
      <w:pPr>
        <w:pStyle w:val="7"/>
        <w:ind w:left="0" w:leftChars="0"/>
        <w:rPr>
          <w:rFonts w:ascii="宋体" w:hAnsi="宋体"/>
          <w:sz w:val="18"/>
          <w:szCs w:val="18"/>
        </w:rPr>
      </w:pPr>
      <w:r>
        <w:rPr>
          <w:rFonts w:hint="eastAsia" w:ascii="宋体" w:hAnsi="宋体"/>
          <w:b/>
          <w:bCs/>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sz w:val="18"/>
          <w:szCs w:val="18"/>
        </w:rPr>
      </w:pPr>
      <w:r>
        <w:rPr>
          <w:rFonts w:hint="eastAsia" w:ascii="宋体" w:hAnsi="宋体"/>
          <w:sz w:val="18"/>
          <w:szCs w:val="18"/>
        </w:rPr>
        <w:t xml:space="preserve">  投资者投资本理财产品可能存在但不限于以下风险：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sz w:val="18"/>
          <w:szCs w:val="18"/>
        </w:rPr>
      </w:pPr>
      <w:r>
        <w:rPr>
          <w:rFonts w:hint="eastAsia" w:ascii="宋体" w:hAnsi="宋体"/>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sz w:val="18"/>
          <w:szCs w:val="18"/>
        </w:rPr>
      </w:pPr>
      <w:r>
        <w:rPr>
          <w:rFonts w:hint="eastAsia" w:ascii="宋体" w:hAnsi="宋体"/>
          <w:b/>
          <w:bCs/>
          <w:sz w:val="18"/>
          <w:szCs w:val="18"/>
        </w:rPr>
        <w:t>流动性风险</w:t>
      </w:r>
      <w:r>
        <w:rPr>
          <w:rFonts w:hint="eastAsia" w:ascii="宋体" w:hAnsi="宋体"/>
          <w:sz w:val="18"/>
          <w:szCs w:val="18"/>
        </w:rPr>
        <w:t>：</w:t>
      </w:r>
      <w:r>
        <w:rPr>
          <w:rFonts w:hint="eastAsia" w:ascii="宋体" w:hAnsi="宋体"/>
          <w:b/>
          <w:bCs/>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sz w:val="18"/>
          <w:szCs w:val="18"/>
        </w:rPr>
      </w:pPr>
      <w:r>
        <w:rPr>
          <w:rFonts w:hint="eastAsia" w:ascii="宋体" w:hAnsi="宋体"/>
          <w:sz w:val="18"/>
          <w:szCs w:val="18"/>
        </w:rPr>
        <w:t>政策风险：本理财产品存续期内可能会遇到国家金融政策重大调整，影响产品本金及收益水平。</w:t>
      </w:r>
    </w:p>
    <w:p>
      <w:pPr>
        <w:numPr>
          <w:ilvl w:val="0"/>
          <w:numId w:val="2"/>
        </w:numPr>
        <w:rPr>
          <w:rFonts w:ascii="宋体" w:hAnsi="宋体"/>
          <w:b/>
          <w:bCs/>
          <w:sz w:val="18"/>
          <w:szCs w:val="18"/>
        </w:rPr>
      </w:pPr>
      <w:r>
        <w:rPr>
          <w:rFonts w:hint="eastAsia" w:ascii="宋体" w:hAnsi="宋体"/>
          <w:b/>
          <w:bCs/>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sz w:val="18"/>
          <w:szCs w:val="18"/>
        </w:rPr>
      </w:pPr>
      <w:r>
        <w:rPr>
          <w:rFonts w:hint="eastAsia" w:ascii="宋体" w:hAnsi="宋体"/>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sz w:val="18"/>
          <w:szCs w:val="18"/>
        </w:rPr>
      </w:pPr>
      <w:r>
        <w:rPr>
          <w:rFonts w:hint="eastAsia" w:ascii="宋体" w:hAnsi="宋体"/>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sz w:val="18"/>
          <w:szCs w:val="18"/>
        </w:rPr>
      </w:pPr>
      <w:r>
        <w:rPr>
          <w:rFonts w:hint="eastAsia" w:ascii="宋体" w:hAnsi="宋体"/>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sz w:val="18"/>
          <w:szCs w:val="18"/>
        </w:rPr>
      </w:pPr>
      <w:r>
        <w:rPr>
          <w:rFonts w:hint="eastAsia" w:ascii="宋体" w:hAnsi="宋体"/>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sz w:val="18"/>
          <w:szCs w:val="18"/>
        </w:rPr>
      </w:pPr>
      <w:r>
        <w:rPr>
          <w:rFonts w:hint="eastAsia" w:ascii="宋体" w:hAnsi="宋体"/>
          <w:b/>
          <w:bCs/>
          <w:sz w:val="18"/>
          <w:szCs w:val="18"/>
        </w:rPr>
        <w:t>特定投资标的风险：</w:t>
      </w:r>
    </w:p>
    <w:p>
      <w:pPr>
        <w:ind w:firstLine="361" w:firstLineChars="200"/>
        <w:rPr>
          <w:rFonts w:ascii="宋体" w:hAnsi="宋体"/>
          <w:b/>
          <w:bCs/>
          <w:sz w:val="18"/>
          <w:szCs w:val="18"/>
        </w:rPr>
      </w:pPr>
      <w:r>
        <w:rPr>
          <w:rFonts w:hint="eastAsia" w:ascii="宋体" w:hAnsi="宋体"/>
          <w:b/>
          <w:bCs/>
          <w:sz w:val="18"/>
          <w:szCs w:val="18"/>
        </w:rPr>
        <w:t>（1）投资于债券的特殊风险</w:t>
      </w:r>
    </w:p>
    <w:p>
      <w:pPr>
        <w:ind w:firstLine="360" w:firstLineChars="200"/>
        <w:rPr>
          <w:rFonts w:ascii="宋体" w:hAnsi="宋体"/>
          <w:sz w:val="18"/>
          <w:szCs w:val="18"/>
        </w:rPr>
      </w:pPr>
      <w:r>
        <w:rPr>
          <w:rFonts w:hint="eastAsia" w:ascii="宋体" w:hAnsi="宋体"/>
          <w:sz w:val="18"/>
          <w:szCs w:val="18"/>
        </w:rPr>
        <w:t>A、市场平均利率水平变化导致债券价格变化的风险；</w:t>
      </w:r>
    </w:p>
    <w:p>
      <w:pPr>
        <w:ind w:firstLine="360" w:firstLineChars="200"/>
        <w:rPr>
          <w:rFonts w:ascii="宋体" w:hAnsi="宋体"/>
          <w:sz w:val="18"/>
          <w:szCs w:val="18"/>
        </w:rPr>
      </w:pPr>
      <w:r>
        <w:rPr>
          <w:rFonts w:hint="eastAsia" w:ascii="宋体" w:hAnsi="宋体"/>
          <w:sz w:val="18"/>
          <w:szCs w:val="18"/>
        </w:rPr>
        <w:t>B、债券市场不同期限、不同类属债券之间的利差变动导致相应期限和类属债券价格变化的风险；</w:t>
      </w:r>
    </w:p>
    <w:p>
      <w:pPr>
        <w:ind w:firstLine="360" w:firstLineChars="200"/>
        <w:rPr>
          <w:rFonts w:ascii="宋体" w:hAnsi="宋体"/>
          <w:sz w:val="18"/>
          <w:szCs w:val="18"/>
        </w:rPr>
      </w:pPr>
      <w:r>
        <w:rPr>
          <w:rFonts w:hint="eastAsia" w:ascii="宋体" w:hAnsi="宋体"/>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sz w:val="18"/>
          <w:szCs w:val="18"/>
        </w:rPr>
      </w:pPr>
      <w:r>
        <w:rPr>
          <w:rFonts w:hint="eastAsia" w:ascii="宋体" w:hAnsi="宋体"/>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sz w:val="18"/>
          <w:szCs w:val="18"/>
        </w:rPr>
      </w:pPr>
      <w:r>
        <w:rPr>
          <w:rFonts w:hint="eastAsia" w:ascii="宋体" w:hAnsi="宋体"/>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sz w:val="18"/>
          <w:szCs w:val="18"/>
        </w:rPr>
      </w:pPr>
      <w:r>
        <w:rPr>
          <w:rFonts w:hint="eastAsia" w:ascii="宋体" w:hAnsi="宋体"/>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sz w:val="18"/>
          <w:szCs w:val="18"/>
        </w:rPr>
      </w:pPr>
      <w:r>
        <w:rPr>
          <w:rFonts w:hint="eastAsia" w:ascii="宋体" w:hAnsi="宋体"/>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sz w:val="18"/>
          <w:szCs w:val="18"/>
        </w:rPr>
      </w:pPr>
      <w:r>
        <w:rPr>
          <w:rFonts w:hint="eastAsia" w:ascii="宋体" w:hAnsi="宋体"/>
          <w:sz w:val="18"/>
          <w:szCs w:val="18"/>
        </w:rPr>
        <w:t>H、债券回购风险：债券投资可能会运用正回购来增加组合杠杆，较高的债券正回购比例可能增加组合的利率风险。</w:t>
      </w:r>
    </w:p>
    <w:p>
      <w:pPr>
        <w:ind w:firstLine="361" w:firstLineChars="200"/>
        <w:rPr>
          <w:rFonts w:ascii="宋体" w:hAnsi="宋体"/>
          <w:b/>
          <w:bCs/>
          <w:sz w:val="18"/>
          <w:szCs w:val="18"/>
        </w:rPr>
      </w:pPr>
      <w:r>
        <w:rPr>
          <w:rFonts w:hint="eastAsia" w:ascii="宋体" w:hAnsi="宋体"/>
          <w:b/>
          <w:bCs/>
          <w:sz w:val="18"/>
          <w:szCs w:val="18"/>
        </w:rPr>
        <w:t>（2）投资于资产支持证券的特殊风险</w:t>
      </w:r>
    </w:p>
    <w:p>
      <w:pPr>
        <w:ind w:firstLine="360" w:firstLineChars="200"/>
        <w:rPr>
          <w:rFonts w:ascii="宋体" w:hAnsi="宋体"/>
          <w:b/>
          <w:bCs/>
          <w:sz w:val="18"/>
          <w:szCs w:val="18"/>
        </w:rPr>
      </w:pPr>
      <w:r>
        <w:rPr>
          <w:rFonts w:hint="eastAsia" w:ascii="宋体" w:hAnsi="宋体"/>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（3）投资于衍生金融工具的特殊风险</w:t>
      </w:r>
    </w:p>
    <w:p>
      <w:pPr>
        <w:ind w:firstLine="360" w:firstLineChars="200"/>
        <w:rPr>
          <w:rFonts w:ascii="宋体" w:hAnsi="宋体"/>
          <w:sz w:val="18"/>
          <w:szCs w:val="18"/>
        </w:rPr>
      </w:pPr>
      <w:r>
        <w:rPr>
          <w:rFonts w:hint="eastAsia" w:ascii="宋体" w:hAnsi="宋体"/>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（4）如本产品进行债权投资的，则本产品可能面临如下风险：</w:t>
      </w:r>
    </w:p>
    <w:p>
      <w:pPr>
        <w:ind w:firstLine="360" w:firstLineChars="200"/>
        <w:rPr>
          <w:rFonts w:ascii="宋体" w:hAnsi="宋体"/>
          <w:sz w:val="18"/>
          <w:szCs w:val="18"/>
        </w:rPr>
      </w:pPr>
      <w:r>
        <w:rPr>
          <w:rFonts w:hint="eastAsia" w:ascii="宋体" w:hAnsi="宋体"/>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sz w:val="18"/>
          <w:szCs w:val="18"/>
        </w:rPr>
      </w:pPr>
      <w:r>
        <w:rPr>
          <w:rFonts w:hint="eastAsia" w:ascii="宋体" w:hAnsi="宋体"/>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sz w:val="18"/>
          <w:szCs w:val="18"/>
        </w:rPr>
      </w:pPr>
      <w:r>
        <w:rPr>
          <w:rFonts w:hint="eastAsia" w:ascii="宋体" w:hAnsi="宋体"/>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sz w:val="18"/>
          <w:szCs w:val="18"/>
        </w:rPr>
      </w:pPr>
      <w:r>
        <w:rPr>
          <w:rFonts w:hint="eastAsia" w:ascii="宋体" w:hAnsi="宋体"/>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sz w:val="18"/>
          <w:szCs w:val="18"/>
        </w:rPr>
      </w:pPr>
      <w:r>
        <w:rPr>
          <w:rFonts w:hint="eastAsia" w:ascii="宋体" w:hAnsi="宋体"/>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sz w:val="18"/>
          <w:szCs w:val="18"/>
        </w:rPr>
      </w:pPr>
      <w:r>
        <w:rPr>
          <w:rFonts w:hint="eastAsia" w:ascii="宋体" w:hAnsi="宋体"/>
          <w:b/>
          <w:bCs/>
          <w:sz w:val="18"/>
          <w:szCs w:val="18"/>
        </w:rPr>
        <w:t>（5）投资于相关信托受益权、资产管理计划的计划份额时，可能面临的受托人/资产管理人风险</w:t>
      </w:r>
    </w:p>
    <w:p>
      <w:pPr>
        <w:ind w:firstLine="360" w:firstLineChars="200"/>
        <w:rPr>
          <w:rFonts w:ascii="宋体" w:hAnsi="宋体"/>
          <w:sz w:val="18"/>
          <w:szCs w:val="18"/>
        </w:rPr>
      </w:pPr>
      <w:r>
        <w:rPr>
          <w:rFonts w:hint="eastAsia" w:ascii="宋体" w:hAnsi="宋体"/>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sz w:val="18"/>
          <w:szCs w:val="18"/>
        </w:rPr>
      </w:pPr>
      <w:r>
        <w:rPr>
          <w:rFonts w:hint="eastAsia" w:ascii="宋体" w:hAnsi="宋体"/>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sz w:val="18"/>
          <w:szCs w:val="18"/>
        </w:rPr>
      </w:pPr>
      <w:r>
        <w:rPr>
          <w:rFonts w:hint="eastAsia" w:ascii="宋体" w:hAnsi="宋体"/>
          <w:b/>
          <w:bCs/>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sz w:val="18"/>
          <w:szCs w:val="18"/>
        </w:rPr>
      </w:pPr>
    </w:p>
    <w:p>
      <w:pPr>
        <w:numPr>
          <w:ilvl w:val="0"/>
          <w:numId w:val="2"/>
        </w:numPr>
        <w:ind w:left="0" w:firstLine="0"/>
        <w:rPr>
          <w:rFonts w:ascii="宋体" w:hAnsi="宋体"/>
          <w:sz w:val="18"/>
          <w:szCs w:val="18"/>
        </w:rPr>
      </w:pPr>
      <w:r>
        <w:rPr>
          <w:rFonts w:hint="eastAsia" w:ascii="宋体" w:hAnsi="宋体"/>
          <w:b/>
          <w:bCs/>
          <w:sz w:val="18"/>
          <w:szCs w:val="18"/>
        </w:rPr>
        <w:t>本理财产品为</w:t>
      </w:r>
      <w:r>
        <w:rPr>
          <w:rFonts w:hint="eastAsia" w:ascii="宋体" w:hAnsi="宋体"/>
          <w:b/>
          <w:bCs/>
          <w:sz w:val="18"/>
          <w:szCs w:val="18"/>
          <w:u w:val="single"/>
        </w:rPr>
        <w:t>非保本固定收益类净值型</w:t>
      </w:r>
      <w:r>
        <w:rPr>
          <w:rFonts w:hint="eastAsia" w:ascii="宋体" w:hAnsi="宋体"/>
          <w:b/>
          <w:bCs/>
          <w:sz w:val="18"/>
          <w:szCs w:val="18"/>
        </w:rPr>
        <w:t>产品，期限</w:t>
      </w:r>
      <w:r>
        <w:rPr>
          <w:rFonts w:hint="eastAsia" w:ascii="宋体" w:hAnsi="宋体"/>
          <w:b/>
          <w:bCs/>
          <w:sz w:val="18"/>
          <w:szCs w:val="18"/>
          <w:u w:val="single"/>
        </w:rPr>
        <w:t>7305天</w:t>
      </w:r>
      <w:r>
        <w:rPr>
          <w:rFonts w:hint="eastAsia" w:ascii="宋体" w:hAnsi="宋体"/>
          <w:b/>
          <w:bCs/>
          <w:sz w:val="18"/>
          <w:szCs w:val="18"/>
        </w:rPr>
        <w:t>，根据常熟农商银行内部风险评级标准，本产品风险评级为</w:t>
      </w:r>
      <w:r>
        <w:rPr>
          <w:rFonts w:hint="eastAsia" w:ascii="宋体" w:hAnsi="宋体"/>
          <w:b/>
          <w:bCs/>
          <w:sz w:val="18"/>
          <w:szCs w:val="18"/>
          <w:u w:val="single"/>
        </w:rPr>
        <w:t>二级</w:t>
      </w:r>
      <w:r>
        <w:rPr>
          <w:rFonts w:hint="eastAsia" w:ascii="宋体" w:hAnsi="宋体"/>
          <w:b/>
          <w:bCs/>
          <w:sz w:val="18"/>
          <w:szCs w:val="18"/>
        </w:rPr>
        <w:t>，适合购买的投资者为</w:t>
      </w:r>
      <w:r>
        <w:rPr>
          <w:rFonts w:hint="eastAsia" w:ascii="宋体" w:hAnsi="宋体"/>
          <w:b/>
          <w:bCs/>
          <w:sz w:val="18"/>
          <w:szCs w:val="18"/>
          <w:u w:val="single"/>
        </w:rPr>
        <w:t>谨慎型、稳健型、进取型、积极进取型</w:t>
      </w:r>
      <w:r>
        <w:rPr>
          <w:rFonts w:hint="eastAsia" w:ascii="宋体" w:hAnsi="宋体"/>
          <w:b/>
          <w:bCs/>
          <w:sz w:val="18"/>
          <w:szCs w:val="18"/>
        </w:rPr>
        <w:t>。最不利情形下投资结果示例：</w:t>
      </w:r>
    </w:p>
    <w:p>
      <w:pPr>
        <w:rPr>
          <w:rFonts w:ascii="宋体" w:hAnsi="宋体"/>
          <w:sz w:val="18"/>
          <w:szCs w:val="18"/>
        </w:rPr>
      </w:pPr>
      <w:r>
        <w:rPr>
          <w:rFonts w:hint="eastAsia" w:ascii="宋体" w:hAnsi="宋体"/>
          <w:b/>
          <w:bCs/>
          <w:sz w:val="18"/>
          <w:szCs w:val="18"/>
          <w:u w:val="single"/>
        </w:rPr>
        <w:t>假如投资者以10万元本金认购本产品，最不利情形下，投资者可获得的本理财产品的本金及收益为0，即10万元本金及收益全部损失。</w:t>
      </w:r>
    </w:p>
    <w:p>
      <w:pPr>
        <w:rPr>
          <w:rFonts w:ascii="宋体" w:hAnsi="宋体"/>
          <w:b/>
          <w:sz w:val="18"/>
          <w:szCs w:val="18"/>
        </w:rPr>
      </w:pPr>
      <w:r>
        <w:rPr>
          <w:rFonts w:hint="eastAsia" w:ascii="宋体" w:hAnsi="宋体"/>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sz w:val="18"/>
          <w:szCs w:val="18"/>
        </w:rPr>
        <w:t>认真阅读理财产品协议、对应的产品说明书、风险揭示专页、投资者权益须知专页中全部条款与内容</w:t>
      </w:r>
      <w:r>
        <w:rPr>
          <w:rFonts w:hint="eastAsia" w:ascii="宋体" w:hAnsi="宋体"/>
          <w:sz w:val="18"/>
          <w:szCs w:val="18"/>
        </w:rPr>
        <w:t>，并</w:t>
      </w:r>
      <w:r>
        <w:rPr>
          <w:rFonts w:hint="eastAsia" w:ascii="宋体" w:hAnsi="宋体"/>
          <w:b/>
          <w:sz w:val="18"/>
          <w:szCs w:val="18"/>
        </w:rPr>
        <w:t>了解相关本产品的基本情况和投资风险与收益状况</w:t>
      </w:r>
      <w:r>
        <w:rPr>
          <w:rFonts w:hint="eastAsia" w:ascii="宋体" w:hAnsi="宋体"/>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u w:val="single"/>
        </w:rPr>
      </w:pPr>
      <w:r>
        <w:rPr>
          <w:rFonts w:hint="eastAsia" w:ascii="宋体" w:hAnsi="宋体"/>
          <w:b/>
          <w:i/>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理财产品过往业绩不代表其未来表现，不等于理财产品实际收益，投资须谨慎。</w:t>
      </w:r>
    </w:p>
    <w:p>
      <w:pPr>
        <w:ind w:firstLine="360" w:firstLineChars="200"/>
        <w:rPr>
          <w:rFonts w:ascii="宋体" w:hAnsi="宋体"/>
          <w:sz w:val="18"/>
          <w:szCs w:val="18"/>
          <w:u w:val="single"/>
        </w:rPr>
      </w:pPr>
      <w:r>
        <w:rPr>
          <w:rFonts w:ascii="宋体" w:hAnsi="宋体"/>
          <w:sz w:val="18"/>
          <w:szCs w:val="18"/>
          <w:u w:val="single"/>
        </w:rPr>
        <w:t xml:space="preserve">    </w:t>
      </w:r>
      <w:r>
        <w:rPr>
          <w:rFonts w:hint="eastAsia" w:ascii="宋体" w:hAnsi="宋体"/>
          <w:sz w:val="18"/>
          <w:szCs w:val="18"/>
          <w:u w:val="single"/>
        </w:rPr>
        <w:t xml:space="preserve">                                                                                    </w:t>
      </w:r>
    </w:p>
    <w:p>
      <w:pPr>
        <w:jc w:val="center"/>
        <w:rPr>
          <w:rFonts w:ascii="宋体" w:hAnsi="宋体"/>
          <w:b/>
          <w:sz w:val="18"/>
          <w:szCs w:val="18"/>
        </w:rPr>
      </w:pPr>
      <w:r>
        <w:rPr>
          <w:rFonts w:hint="eastAsia" w:ascii="宋体" w:hAnsi="宋体"/>
          <w:b/>
          <w:sz w:val="18"/>
          <w:szCs w:val="18"/>
        </w:rPr>
        <w:t>投资者确认栏</w:t>
      </w:r>
    </w:p>
    <w:p>
      <w:pPr>
        <w:adjustRightInd w:val="0"/>
        <w:ind w:firstLine="270" w:firstLineChars="150"/>
        <w:rPr>
          <w:rFonts w:ascii="宋体" w:hAnsi="宋体" w:cs="宋体"/>
          <w:kern w:val="0"/>
          <w:sz w:val="18"/>
          <w:szCs w:val="18"/>
        </w:rPr>
      </w:pPr>
      <w:r>
        <w:rPr>
          <w:rFonts w:hint="eastAsia" w:ascii="宋体" w:hAnsi="宋体" w:cs="宋体"/>
          <w:kern w:val="0"/>
          <w:sz w:val="18"/>
          <w:szCs w:val="18"/>
        </w:rPr>
        <w:t xml:space="preserve">本人确认如下： </w:t>
      </w:r>
    </w:p>
    <w:p>
      <w:pPr>
        <w:adjustRightInd w:val="0"/>
        <w:ind w:firstLine="360" w:firstLineChars="200"/>
        <w:rPr>
          <w:rFonts w:ascii="宋体" w:hAnsi="宋体"/>
          <w:sz w:val="18"/>
          <w:szCs w:val="18"/>
        </w:rPr>
      </w:pPr>
      <w:r>
        <w:rPr>
          <w:rFonts w:hint="eastAsia" w:ascii="宋体" w:hAnsi="宋体"/>
          <w:sz w:val="18"/>
          <w:szCs w:val="18"/>
        </w:rPr>
        <w:t>本人的风险承受能力评级为：</w:t>
      </w:r>
    </w:p>
    <w:p>
      <w:pPr>
        <w:adjustRightInd w:val="0"/>
        <w:ind w:firstLine="360" w:firstLineChars="200"/>
        <w:rPr>
          <w:rFonts w:ascii="宋体" w:hAnsi="宋体"/>
          <w:sz w:val="18"/>
          <w:szCs w:val="18"/>
        </w:rPr>
      </w:pPr>
      <w:r>
        <w:rPr>
          <w:rFonts w:hint="eastAsia" w:ascii="宋体" w:hAnsi="宋体"/>
          <w:sz w:val="18"/>
          <w:szCs w:val="18"/>
        </w:rPr>
        <w:t>□保守型（一级）    □谨慎型（二级）   □稳健型（三级）   □进取型（四级）   □积极进取型（五级）。</w:t>
      </w:r>
    </w:p>
    <w:p>
      <w:pPr>
        <w:ind w:firstLine="361" w:firstLineChars="200"/>
        <w:rPr>
          <w:rFonts w:ascii="宋体" w:hAnsi="宋体"/>
          <w:sz w:val="18"/>
          <w:szCs w:val="18"/>
        </w:rPr>
      </w:pPr>
      <w:r>
        <w:rPr>
          <w:rFonts w:hint="eastAsia" w:ascii="宋体" w:hAnsi="宋体"/>
          <w:b/>
          <w:bCs/>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Lines="50"/>
        <w:ind w:firstLine="360" w:firstLineChars="200"/>
        <w:rPr>
          <w:rFonts w:ascii="宋体" w:hAnsi="宋体"/>
          <w:sz w:val="18"/>
          <w:szCs w:val="18"/>
        </w:rPr>
      </w:pPr>
      <w:r>
        <w:rPr>
          <w:rFonts w:hint="eastAsia" w:ascii="宋体" w:hAnsi="宋体"/>
          <w:sz w:val="18"/>
          <w:szCs w:val="18"/>
        </w:rPr>
        <w:t>抄录：</w:t>
      </w:r>
      <w:r>
        <w:rPr>
          <w:rFonts w:hint="eastAsia" w:ascii="宋体" w:hAnsi="宋体"/>
          <w:b/>
          <w:bCs/>
          <w:sz w:val="18"/>
          <w:szCs w:val="18"/>
        </w:rPr>
        <w:t>本人已阅读风险揭示，愿意承担投资风险。（电子渠道以点击确认为准，柜面渠道以手写抄录签名为准）</w:t>
      </w:r>
    </w:p>
    <w:p>
      <w:pPr>
        <w:ind w:firstLine="360" w:firstLineChars="200"/>
        <w:rPr>
          <w:rFonts w:ascii="宋体" w:hAnsi="宋体"/>
          <w:sz w:val="18"/>
          <w:szCs w:val="18"/>
          <w:u w:val="single"/>
        </w:rPr>
      </w:pP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p>
    <w:p>
      <w:pPr>
        <w:ind w:firstLine="360" w:firstLineChars="200"/>
        <w:rPr>
          <w:rFonts w:ascii="宋体" w:hAnsi="宋体"/>
          <w:sz w:val="18"/>
          <w:szCs w:val="18"/>
        </w:rPr>
      </w:pPr>
      <w:r>
        <w:rPr>
          <w:rFonts w:hint="eastAsia" w:ascii="宋体" w:hAnsi="宋体"/>
          <w:sz w:val="18"/>
          <w:szCs w:val="18"/>
        </w:rPr>
        <w:t>个人投资者（</w:t>
      </w:r>
      <w:r>
        <w:rPr>
          <w:rFonts w:hint="eastAsia" w:ascii="宋体" w:hAnsi="宋体"/>
          <w:sz w:val="18"/>
          <w:szCs w:val="18"/>
          <w:lang w:eastAsia="zh-CN"/>
        </w:rPr>
        <w:t>签名或按指印</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rPr>
        <w:t xml:space="preserve">    机构投资者（</w:t>
      </w:r>
      <w:r>
        <w:rPr>
          <w:rFonts w:hint="eastAsia" w:ascii="宋体" w:hAnsi="宋体"/>
          <w:sz w:val="18"/>
          <w:szCs w:val="18"/>
          <w:lang w:eastAsia="zh-CN"/>
        </w:rPr>
        <w:t>预留印鉴</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r>
        <w:rPr>
          <w:rFonts w:hint="eastAsia" w:ascii="宋体" w:hAnsi="宋体"/>
          <w:sz w:val="18"/>
          <w:szCs w:val="18"/>
        </w:rPr>
        <w:t xml:space="preserve">  </w:t>
      </w:r>
      <w:r>
        <w:rPr>
          <w:rFonts w:ascii="宋体" w:hAnsi="宋体"/>
          <w:sz w:val="18"/>
          <w:szCs w:val="18"/>
          <w:u w:val="single"/>
        </w:rPr>
        <w:t xml:space="preserve"> </w:t>
      </w:r>
    </w:p>
    <w:p>
      <w:pPr>
        <w:jc w:val="right"/>
        <w:rPr>
          <w:rFonts w:ascii="宋体" w:hAnsi="宋体"/>
          <w:b/>
          <w:bCs/>
          <w:sz w:val="28"/>
          <w:szCs w:val="18"/>
        </w:rPr>
      </w:pPr>
      <w:r>
        <w:rPr>
          <w:rFonts w:hint="eastAsia" w:ascii="宋体" w:hAnsi="宋体"/>
          <w:sz w:val="18"/>
          <w:szCs w:val="18"/>
        </w:rPr>
        <w:t>年    月    日</w:t>
      </w:r>
    </w:p>
    <w:p>
      <w:pPr>
        <w:jc w:val="center"/>
        <w:rPr>
          <w:rFonts w:ascii="宋体" w:hAnsi="宋体"/>
          <w:b/>
          <w:sz w:val="28"/>
          <w:szCs w:val="28"/>
        </w:rPr>
      </w:pPr>
      <w:r>
        <w:rPr>
          <w:rFonts w:hint="eastAsia" w:ascii="宋体" w:hAnsi="宋体"/>
          <w:b/>
          <w:sz w:val="28"/>
          <w:szCs w:val="28"/>
        </w:rPr>
        <w:t>投资者权益须知</w:t>
      </w:r>
    </w:p>
    <w:p>
      <w:pPr>
        <w:rPr>
          <w:rFonts w:ascii="宋体" w:hAnsi="宋体"/>
          <w:b/>
          <w:sz w:val="18"/>
          <w:szCs w:val="18"/>
        </w:rPr>
      </w:pPr>
      <w:r>
        <w:rPr>
          <w:rFonts w:hint="eastAsia" w:ascii="宋体" w:hAnsi="宋体"/>
          <w:b/>
          <w:sz w:val="18"/>
          <w:szCs w:val="18"/>
        </w:rPr>
        <w:t>一、投资者购买理财产品的流程：</w:t>
      </w:r>
    </w:p>
    <w:p>
      <w:pPr>
        <w:rPr>
          <w:rFonts w:ascii="宋体" w:hAnsi="宋体"/>
          <w:b/>
          <w:sz w:val="18"/>
          <w:szCs w:val="18"/>
        </w:rPr>
      </w:pPr>
      <w:r>
        <w:rPr>
          <w:rFonts w:ascii="Calibri" w:hAnsi="Calibri" w:eastAsia="宋体" w:cs="Calibri"/>
          <w:kern w:val="2"/>
          <w:sz w:val="21"/>
          <w:szCs w:val="21"/>
          <w:lang w:val="en-US" w:eastAsia="zh-CN" w:bidi="ar-SA"/>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274320</wp:posOffset>
                </wp:positionV>
                <wp:extent cx="4575175" cy="1781810"/>
                <wp:effectExtent l="4445" t="5080" r="0" b="22860"/>
                <wp:wrapTopAndBottom/>
                <wp:docPr id="17" name="组合 1"/>
                <wp:cNvGraphicFramePr/>
                <a:graphic xmlns:a="http://schemas.openxmlformats.org/drawingml/2006/main">
                  <a:graphicData uri="http://schemas.microsoft.com/office/word/2010/wordprocessingGroup">
                    <wpg:wgp>
                      <wpg:cNvGrpSpPr/>
                      <wpg:grpSpPr>
                        <a:xfrm>
                          <a:off x="0" y="0"/>
                          <a:ext cx="4575175" cy="1781810"/>
                          <a:chOff x="0" y="0"/>
                          <a:chExt cx="7205" cy="2806"/>
                        </a:xfrm>
                      </wpg:grpSpPr>
                      <wps:wsp>
                        <wps:cNvPr id="2" name="矩形 20"/>
                        <wps:cNvSpPr/>
                        <wps:spPr>
                          <a:xfrm>
                            <a:off x="0" y="0"/>
                            <a:ext cx="7205" cy="2806"/>
                          </a:xfrm>
                          <a:prstGeom prst="rect">
                            <a:avLst/>
                          </a:prstGeom>
                          <a:noFill/>
                          <a:ln>
                            <a:noFill/>
                          </a:ln>
                        </wps:spPr>
                        <wps:bodyPr upright="1"/>
                      </wps:wsp>
                      <wpg:grpSp>
                        <wpg:cNvPr id="16" name="Group 4"/>
                        <wpg:cNvGrpSpPr/>
                        <wpg:grpSpPr>
                          <a:xfrm>
                            <a:off x="0" y="0"/>
                            <a:ext cx="6617" cy="2806"/>
                            <a:chOff x="0" y="0"/>
                            <a:chExt cx="6617" cy="2806"/>
                          </a:xfrm>
                        </wpg:grpSpPr>
                        <wps:wsp>
                          <wps:cNvPr id="3" name="自选图形 22"/>
                          <wps:cNvSpPr/>
                          <wps:spPr>
                            <a:xfrm>
                              <a:off x="588"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4" name="矩形 23"/>
                          <wps:cNvSpPr/>
                          <wps:spPr>
                            <a:xfrm>
                              <a:off x="1029" y="0"/>
                              <a:ext cx="58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银行营业网点柜面</w:t>
                                </w:r>
                              </w:p>
                            </w:txbxContent>
                          </wps:txbx>
                          <wps:bodyPr upright="1"/>
                        </wps:wsp>
                        <wps:wsp>
                          <wps:cNvPr id="5" name="自选图形 24"/>
                          <wps:cNvSpPr/>
                          <wps:spPr>
                            <a:xfrm>
                              <a:off x="1617"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6" name="矩形 25"/>
                          <wps:cNvSpPr/>
                          <wps:spPr>
                            <a:xfrm>
                              <a:off x="2059" y="0"/>
                              <a:ext cx="102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在银行员工指点下，进行风险承受能力测评（首次）</w:t>
                                </w:r>
                              </w:p>
                            </w:txbxContent>
                          </wps:txbx>
                          <wps:bodyPr upright="1"/>
                        </wps:wsp>
                        <wps:wsp>
                          <wps:cNvPr id="7" name="自选图形 26"/>
                          <wps:cNvSpPr/>
                          <wps:spPr>
                            <a:xfrm>
                              <a:off x="3088" y="255"/>
                              <a:ext cx="441" cy="257"/>
                            </a:xfrm>
                            <a:prstGeom prst="rightArrow">
                              <a:avLst>
                                <a:gd name="adj1" fmla="val 50000"/>
                                <a:gd name="adj2" fmla="val 42867"/>
                              </a:avLst>
                            </a:prstGeom>
                            <a:solidFill>
                              <a:srgbClr val="FFFFFF"/>
                            </a:solidFill>
                            <a:ln w="9525" cap="flat" cmpd="sng">
                              <a:solidFill>
                                <a:srgbClr val="000000"/>
                              </a:solidFill>
                              <a:prstDash val="solid"/>
                              <a:miter/>
                              <a:headEnd type="none" w="med" len="med"/>
                              <a:tailEnd type="none" w="med" len="med"/>
                            </a:ln>
                          </wps:spPr>
                          <wps:bodyPr upright="1"/>
                        </wps:wsp>
                        <wps:wsp>
                          <wps:cNvPr id="8" name="矩形 27"/>
                          <wps:cNvSpPr/>
                          <wps:spPr>
                            <a:xfrm>
                              <a:off x="3529" y="0"/>
                              <a:ext cx="1176"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结合自己的风险承受能力和产品属性，选择合适的产品</w:t>
                                </w:r>
                              </w:p>
                            </w:txbxContent>
                          </wps:txbx>
                          <wps:bodyPr upright="1"/>
                        </wps:wsp>
                        <wps:wsp>
                          <wps:cNvPr id="9" name="自选图形 28"/>
                          <wps:cNvSpPr/>
                          <wps:spPr>
                            <a:xfrm>
                              <a:off x="5881" y="1019"/>
                              <a:ext cx="148" cy="766"/>
                            </a:xfrm>
                            <a:prstGeom prst="downArrow">
                              <a:avLst>
                                <a:gd name="adj1" fmla="val 50000"/>
                                <a:gd name="adj2" fmla="val 129320"/>
                              </a:avLst>
                            </a:prstGeom>
                            <a:solidFill>
                              <a:srgbClr val="FFFFFF"/>
                            </a:solidFill>
                            <a:ln w="9525" cap="flat" cmpd="sng">
                              <a:solidFill>
                                <a:srgbClr val="000000"/>
                              </a:solidFill>
                              <a:prstDash val="solid"/>
                              <a:miter/>
                              <a:headEnd type="none" w="med" len="med"/>
                              <a:tailEnd type="none" w="med" len="med"/>
                            </a:ln>
                          </wps:spPr>
                          <wps:bodyPr upright="1"/>
                        </wps:wsp>
                        <wps:wsp>
                          <wps:cNvPr id="10" name="矩形 29"/>
                          <wps:cNvSpPr/>
                          <wps:spPr>
                            <a:xfrm>
                              <a:off x="5146" y="0"/>
                              <a:ext cx="1471"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wps:txbx>
                          <wps:bodyPr upright="1"/>
                        </wps:wsp>
                        <wps:wsp>
                          <wps:cNvPr id="11" name="自选图形 30"/>
                          <wps:cNvSpPr/>
                          <wps:spPr>
                            <a:xfrm>
                              <a:off x="4705" y="2040"/>
                              <a:ext cx="440" cy="257"/>
                            </a:xfrm>
                            <a:prstGeom prst="leftArrow">
                              <a:avLst>
                                <a:gd name="adj1" fmla="val 50000"/>
                                <a:gd name="adj2" fmla="val 42777"/>
                              </a:avLst>
                            </a:prstGeom>
                            <a:solidFill>
                              <a:srgbClr val="FFFFFF"/>
                            </a:solidFill>
                            <a:ln w="9525" cap="flat" cmpd="sng">
                              <a:solidFill>
                                <a:srgbClr val="000000"/>
                              </a:solidFill>
                              <a:prstDash val="solid"/>
                              <a:miter/>
                              <a:headEnd type="none" w="med" len="med"/>
                              <a:tailEnd type="none" w="med" len="med"/>
                            </a:ln>
                          </wps:spPr>
                          <wps:bodyPr upright="1"/>
                        </wps:wsp>
                        <wps:wsp>
                          <wps:cNvPr id="12" name="矩形 31"/>
                          <wps:cNvSpPr/>
                          <wps:spPr>
                            <a:xfrm>
                              <a:off x="5146" y="1785"/>
                              <a:ext cx="1470"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填写风险承受能力评级、抄录风险提示，签署理财协议等销售文件。</w:t>
                                </w:r>
                              </w:p>
                            </w:txbxContent>
                          </wps:txbx>
                          <wps:bodyPr upright="1"/>
                        </wps:wsp>
                        <wps:wsp>
                          <wps:cNvPr id="13" name="矩形 32"/>
                          <wps:cNvSpPr/>
                          <wps:spPr>
                            <a:xfrm>
                              <a:off x="3235" y="1785"/>
                              <a:ext cx="1469"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通过转账等方式支付投资款项，完成购买</w:t>
                                </w:r>
                              </w:p>
                            </w:txbxContent>
                          </wps:txbx>
                          <wps:bodyPr upright="1"/>
                        </wps:wsp>
                        <wps:wsp>
                          <wps:cNvPr id="14" name="矩形 33"/>
                          <wps:cNvSpPr/>
                          <wps:spPr>
                            <a:xfrm>
                              <a:off x="0" y="0"/>
                              <a:ext cx="589" cy="89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wps:txbx>
                          <wps:bodyPr upright="1"/>
                        </wps:wsp>
                        <wps:wsp>
                          <wps:cNvPr id="15" name="自选图形 34"/>
                          <wps:cNvSpPr/>
                          <wps:spPr>
                            <a:xfrm>
                              <a:off x="4705" y="255"/>
                              <a:ext cx="441" cy="256"/>
                            </a:xfrm>
                            <a:prstGeom prst="rightArrow">
                              <a:avLst>
                                <a:gd name="adj1" fmla="val 50000"/>
                                <a:gd name="adj2" fmla="val 43042"/>
                              </a:avLst>
                            </a:prstGeom>
                            <a:solidFill>
                              <a:srgbClr val="FFFFFF"/>
                            </a:solidFill>
                            <a:ln w="9525" cap="flat" cmpd="sng">
                              <a:solidFill>
                                <a:srgbClr val="000000"/>
                              </a:solidFill>
                              <a:prstDash val="solid"/>
                              <a:miter/>
                              <a:headEnd type="none" w="med" len="med"/>
                              <a:tailEnd type="none" w="med" len="med"/>
                            </a:ln>
                          </wps:spPr>
                          <wps:bodyPr upright="1"/>
                        </wps:wsp>
                      </wpg:grpSp>
                    </wpg:wgp>
                  </a:graphicData>
                </a:graphic>
              </wp:anchor>
            </w:drawing>
          </mc:Choice>
          <mc:Fallback>
            <w:pict>
              <v:group id="组合 1" o:spid="_x0000_s1026" o:spt="203" style="position:absolute;left:0pt;margin-left:0pt;margin-top:21.6pt;height:140.3pt;width:360.25pt;mso-wrap-distance-bottom:0pt;mso-wrap-distance-top:0pt;z-index:251659264;mso-width-relative:page;mso-height-relative:page;" coordsize="7205,2806" o:gfxdata="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">
                <o:lock v:ext="edit" aspectratio="f"/>
                <v:rect id="矩形 20" o:spid="_x0000_s1026" o:spt="1" style="position:absolute;left:0;top:0;height:2806;width:7205;" filled="f" stroked="f" coordsize="21600,21600" o:gfxdata="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qtzq8AAAA&#10;2gAAAA8AAAAAAAAAAQAgAAAAIgAAAGRycy9kb3ducmV2LnhtbFBLAQIUABQAAAAIAIdO4kAzLwWe&#10;OwAAADkAAAAQAAAAAAAAAAEAIAAAAAsBAABkcnMvc2hhcGV4bWwueG1sUEsFBgAAAAAGAAYAWwEA&#10;ALUDAAAAAA==&#10;">
                  <v:fill on="f" focussize="0,0"/>
                  <v:stroke on="f"/>
                  <v:imagedata o:title=""/>
                  <o:lock v:ext="edit" aspectratio="f"/>
                </v:rect>
                <v:group id="Group 4" o:spid="_x0000_s1026" o:spt="203" style="position:absolute;left:0;top:0;height:2806;width:6617;" coordsize="6617,2806"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shape id="自选图形 22" o:spid="_x0000_s1026" o:spt="13" type="#_x0000_t13" style="position:absolute;left:588;top:255;height:257;width:442;" fillcolor="#FFFFFF" filled="t" stroked="t" coordsize="21600,21600" o:gfxdata="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hHO5AAAA2gAA&#10;AA8AAAAAAAAAAQAgAAAAIgAAAGRycy9kb3ducmV2LnhtbFBLAQIUABQAAAAIAIdO4kAzLwWeOwAA&#10;ADkAAAAQAAAAAAAAAAEAIAAAAAgBAABkcnMvc2hhcGV4bWwueG1sUEsFBgAAAAAGAAYAWwEAALID&#10;AAAAAA==&#10;" adj="16204,5400">
                    <v:fill on="t" focussize="0,0"/>
                    <v:stroke color="#000000" joinstyle="miter"/>
                    <v:imagedata o:title=""/>
                    <o:lock v:ext="edit" aspectratio="f"/>
                  </v:shape>
                  <v:rect id="矩形 23" o:spid="_x0000_s1026" o:spt="1" style="position:absolute;left:1029;top:0;height:1019;width:588;"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26" o:spt="13" type="#_x0000_t13" style="position:absolute;left:1617;top:255;height:257;width:442;" fillcolor="#FFFFFF" filled="t" stroked="t" coordsize="21600,21600" o:gfxdata="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vWrmctwAAANoAAAAP&#10;AAAAAAAAAAEAIAAAACIAAABkcnMvZG93bnJldi54bWxQSwECFAAUAAAACACHTuJAMy8FnjsAAAA5&#10;AAAAEAAAAAAAAAABACAAAAAGAQAAZHJzL3NoYXBleG1sLnhtbFBLBQYAAAAABgAGAFsBAACwAwAA&#10;AAA=&#10;" adj="16204,5400">
                    <v:fill on="t" focussize="0,0"/>
                    <v:stroke color="#000000" joinstyle="miter"/>
                    <v:imagedata o:title=""/>
                    <o:lock v:ext="edit" aspectratio="f"/>
                  </v:shape>
                  <v:rect id="矩形 25" o:spid="_x0000_s1026" o:spt="1" style="position:absolute;left:2059;top:0;height:1019;width:1028;"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26" o:spt="13" type="#_x0000_t13" style="position:absolute;left:3088;top:255;height:257;width:441;" fillcolor="#FFFFFF" filled="t" stroked="t" coordsize="21600,21600" o:gfxdata="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wx2b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7" o:spid="_x0000_s1026" o:spt="1" style="position:absolute;left:3529;top:0;height:1019;width:1176;"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26" o:spt="67" type="#_x0000_t67" style="position:absolute;left:5881;top:1019;height:766;width:148;" fillcolor="#FFFFFF" filled="t" stroked="t" coordsize="21600,21600" o:gfxdata="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MGfuvQAA&#10;ANoAAAAPAAAAAAAAAAEAIAAAACIAAABkcnMvZG93bnJldi54bWxQSwECFAAUAAAACACHTuJAMy8F&#10;njsAAAA5AAAAEAAAAAAAAAABACAAAAAMAQAAZHJzL3NoYXBleG1sLnhtbFBLBQYAAAAABgAGAFsB&#10;AAC2AwAAAAA=&#10;" adj="16204,5400">
                    <v:fill on="t" focussize="0,0"/>
                    <v:stroke color="#000000" joinstyle="miter"/>
                    <v:imagedata o:title=""/>
                    <o:lock v:ext="edit" aspectratio="f"/>
                  </v:shape>
                  <v:rect id="矩形 29" o:spid="_x0000_s1026" o:spt="1" style="position:absolute;left:5146;top:0;height:1019;width:1471;"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26" o:spt="66" type="#_x0000_t66" style="position:absolute;left:4705;top:2040;height:257;width:440;" fillcolor="#FFFFFF" filled="t" stroked="t" coordsize="21600,21600" o:gfxdata="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CT8s7sAAADb&#10;AAAADwAAAAAAAAABACAAAAAiAAAAZHJzL2Rvd25yZXYueG1sUEsBAhQAFAAAAAgAh07iQDMvBZ47&#10;AAAAOQAAABAAAAAAAAAAAQAgAAAACgEAAGRycy9zaGFwZXhtbC54bWxQSwUGAAAAAAYABgBbAQAA&#10;tAMAAAAA&#10;" adj="5396,5400">
                    <v:fill on="t" focussize="0,0"/>
                    <v:stroke color="#000000" joinstyle="miter"/>
                    <v:imagedata o:title=""/>
                    <o:lock v:ext="edit" aspectratio="f"/>
                  </v:shape>
                  <v:rect id="矩形 31" o:spid="_x0000_s1026" o:spt="1" style="position:absolute;left:5146;top:1785;height:1021;width:1470;"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26" o:spt="1" style="position:absolute;left:3235;top:1785;height:1021;width:1469;" fillcolor="#FFFFFF" filled="t" stroked="t" coordsize="21600,21600" o:gfxdata="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ToDm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26" o:spt="1" style="position:absolute;left:0;top:0;height:897;width:589;"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26" o:spt="13" type="#_x0000_t13" style="position:absolute;left:4705;top:255;height:256;width:441;" fillcolor="#FFFFFF" filled="t" stroked="t" coordsize="21600,21600" o:gfxdata="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kCwB7sAAADb&#10;AAAADwAAAAAAAAABACAAAAAiAAAAZHJzL2Rvd25yZXYueG1sUEsBAhQAFAAAAAgAh07iQDMvBZ47&#10;AAAAOQAAABAAAAAAAAAAAQAgAAAACgEAAGRycy9zaGFwZXhtbC54bWxQSwUGAAAAAAYABgBbAQAA&#10;tAMAAAAA&#10;" adj="16204,5400">
                    <v:fill on="t" focussize="0,0"/>
                    <v:stroke color="#000000" joinstyle="miter"/>
                    <v:imagedata o:title=""/>
                    <o:lock v:ext="edit" aspectratio="f"/>
                  </v:shape>
                </v:group>
                <w10:wrap type="topAndBottom"/>
              </v:group>
            </w:pict>
          </mc:Fallback>
        </mc:AlternateContent>
      </w:r>
      <w:r>
        <w:rPr>
          <w:rFonts w:hint="eastAsia" w:ascii="宋体" w:hAnsi="宋体"/>
          <w:sz w:val="18"/>
          <w:szCs w:val="18"/>
        </w:rPr>
        <w:t>（一）投资者持购买理财产品所需材料至理财产品销售银行各营业网点办理。具体流程如下：</w:t>
      </w:r>
    </w:p>
    <w:p>
      <w:pPr>
        <w:rPr>
          <w:rFonts w:ascii="宋体" w:hAnsi="宋体"/>
          <w:sz w:val="18"/>
          <w:szCs w:val="18"/>
        </w:rPr>
      </w:pPr>
    </w:p>
    <w:p>
      <w:pPr>
        <w:rPr>
          <w:rFonts w:ascii="宋体" w:hAnsi="宋体"/>
          <w:sz w:val="18"/>
          <w:szCs w:val="18"/>
        </w:rPr>
      </w:pPr>
      <w:r>
        <w:rPr>
          <w:rFonts w:hint="eastAsia" w:ascii="宋体" w:hAnsi="宋体"/>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sz w:val="18"/>
          <w:szCs w:val="18"/>
        </w:rPr>
      </w:pPr>
      <w:r>
        <w:rPr>
          <w:rFonts w:hint="eastAsia" w:ascii="宋体" w:hAnsi="宋体"/>
          <w:b/>
          <w:bCs/>
          <w:sz w:val="18"/>
          <w:szCs w:val="18"/>
        </w:rPr>
        <w:t>二、投资者风险承受能力评估及产品风险评级说明</w:t>
      </w:r>
    </w:p>
    <w:p>
      <w:pPr>
        <w:rPr>
          <w:rFonts w:ascii="宋体" w:hAnsi="宋体"/>
          <w:sz w:val="18"/>
          <w:szCs w:val="18"/>
        </w:rPr>
      </w:pPr>
      <w:r>
        <w:rPr>
          <w:rFonts w:hint="eastAsia" w:ascii="宋体" w:hAnsi="宋体"/>
          <w:sz w:val="18"/>
          <w:szCs w:val="18"/>
        </w:rPr>
        <w:t>（一）投资者首次购买理财产品的，须进行风险承受能力评估，首次风险承受能力评估须在理财产品销售银行各营业网点进行；</w:t>
      </w:r>
    </w:p>
    <w:p>
      <w:pPr>
        <w:rPr>
          <w:rFonts w:ascii="宋体" w:hAnsi="宋体"/>
          <w:sz w:val="18"/>
          <w:szCs w:val="18"/>
        </w:rPr>
      </w:pPr>
      <w:r>
        <w:rPr>
          <w:rFonts w:hint="eastAsia" w:ascii="宋体" w:hAnsi="宋体"/>
          <w:sz w:val="18"/>
          <w:szCs w:val="18"/>
        </w:rPr>
        <w:t>（二）超过一年未进行风险承受能力评估，再次购买理财产品须在理财产品销售银行各营业网点或者通过理财产品销售银行网上银行完成风险承受能力评估。</w:t>
      </w:r>
    </w:p>
    <w:p>
      <w:r>
        <w:rPr>
          <w:rFonts w:hint="eastAsia" w:ascii="宋体" w:hAnsi="宋体"/>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
      <w:pPr>
        <w:rPr>
          <w:sz w:val="18"/>
          <w:szCs w:val="18"/>
        </w:rPr>
      </w:pPr>
      <w:r>
        <w:rPr>
          <w:rFonts w:hint="eastAsia"/>
          <w:sz w:val="18"/>
          <w:szCs w:val="18"/>
        </w:rPr>
        <w:t>产品风险评级及投资者风险承受能力等级说明：</w:t>
      </w:r>
    </w:p>
    <w:tbl>
      <w:tblPr>
        <w:tblStyle w:val="9"/>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风险标识</w:t>
            </w:r>
            <w:r>
              <w:rPr>
                <w:rFonts w:hint="eastAsia" w:ascii="仿宋_GB2312" w:hAnsi="...." w:eastAsia="仿宋_GB2312"/>
                <w:vanish/>
                <w:sz w:val="22"/>
                <w:szCs w:val="18"/>
              </w:rPr>
              <w:t>体情况风险品合同。若本产品说明书</w:t>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风险承受能力五级投资者，即积极进取型的有投资经验的投资者</w:t>
            </w:r>
          </w:p>
        </w:tc>
      </w:tr>
    </w:tbl>
    <w:p>
      <w:pPr>
        <w:rPr>
          <w:rFonts w:ascii="宋体" w:hAnsi="宋体"/>
          <w:b/>
          <w:sz w:val="18"/>
          <w:szCs w:val="18"/>
        </w:rPr>
      </w:pPr>
    </w:p>
    <w:p>
      <w:pPr>
        <w:rPr>
          <w:rFonts w:ascii="宋体" w:hAnsi="宋体"/>
          <w:b/>
          <w:sz w:val="18"/>
          <w:szCs w:val="18"/>
        </w:rPr>
      </w:pPr>
      <w:r>
        <w:rPr>
          <w:rFonts w:hint="eastAsia" w:ascii="宋体" w:hAnsi="宋体"/>
          <w:b/>
          <w:sz w:val="18"/>
          <w:szCs w:val="18"/>
        </w:rPr>
        <w:t>三、信息披露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1、产品管理人将按照本理财产品产品说明书的约定，进行信息披露。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产品管理人在有关披露事项的报告或通知制作完毕后，</w:t>
      </w:r>
      <w:r>
        <w:rPr>
          <w:rFonts w:hint="eastAsia" w:ascii="宋体" w:hAnsi="宋体" w:cs="宋体"/>
          <w:b/>
          <w:bCs/>
          <w:kern w:val="0"/>
          <w:sz w:val="18"/>
          <w:szCs w:val="18"/>
        </w:rPr>
        <w:t>可视情况选择以下一种或多种方式报告给投资者</w:t>
      </w:r>
      <w:r>
        <w:rPr>
          <w:rFonts w:hint="eastAsia" w:ascii="宋体" w:hAnsi="宋体" w:cs="宋体"/>
          <w:kern w:val="0"/>
          <w:sz w:val="18"/>
          <w:szCs w:val="18"/>
        </w:rPr>
        <w:t>：产品管理人</w:t>
      </w:r>
      <w:r>
        <w:rPr>
          <w:rFonts w:hint="eastAsia" w:ascii="宋体" w:hAnsi="宋体" w:cs="宋体"/>
          <w:b/>
          <w:bCs/>
          <w:kern w:val="0"/>
          <w:sz w:val="18"/>
          <w:szCs w:val="18"/>
        </w:rPr>
        <w:t>官方网站（www.csrcbank.com）、营业网点、手机银行、网上银行、电子邮件、电话、以信函形式邮寄、手机短信等。</w:t>
      </w:r>
    </w:p>
    <w:p>
      <w:pPr>
        <w:ind w:firstLine="360" w:firstLineChars="200"/>
        <w:jc w:val="left"/>
        <w:rPr>
          <w:rFonts w:ascii="宋体" w:hAnsi="宋体" w:cs="宋体"/>
          <w:kern w:val="0"/>
          <w:sz w:val="18"/>
          <w:szCs w:val="18"/>
        </w:rPr>
      </w:pPr>
      <w:r>
        <w:rPr>
          <w:rFonts w:hint="eastAsia" w:ascii="宋体" w:hAnsi="宋体" w:cs="宋体"/>
          <w:kern w:val="0"/>
          <w:sz w:val="18"/>
          <w:szCs w:val="18"/>
        </w:rPr>
        <w:t>2、</w:t>
      </w:r>
      <w:r>
        <w:rPr>
          <w:rFonts w:hint="eastAsia" w:ascii="宋体" w:hAnsi="宋体" w:cs="宋体"/>
          <w:b/>
          <w:bCs/>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kern w:val="0"/>
          <w:sz w:val="18"/>
          <w:szCs w:val="18"/>
        </w:rPr>
      </w:pPr>
      <w:r>
        <w:rPr>
          <w:rFonts w:hint="eastAsia" w:ascii="宋体" w:hAnsi="宋体" w:cs="宋体"/>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szCs w:val="21"/>
        </w:rPr>
      </w:pPr>
      <w:r>
        <w:rPr>
          <w:rFonts w:hint="eastAsia" w:ascii="宋体" w:hAnsi="宋体" w:cs="宋体"/>
          <w:b/>
          <w:bCs/>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4、</w:t>
      </w:r>
      <w:r>
        <w:rPr>
          <w:rFonts w:hint="eastAsia" w:ascii="宋体" w:hAnsi="宋体" w:cs="宋体"/>
          <w:b/>
          <w:bCs/>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kern w:val="0"/>
          <w:sz w:val="18"/>
          <w:szCs w:val="18"/>
        </w:rPr>
        <w:t>投资者可按照公告说明提起异议，未在公告规定时间明确提出异议的，视为投资者接受修订。</w:t>
      </w:r>
    </w:p>
    <w:p>
      <w:pPr>
        <w:ind w:firstLine="360" w:firstLineChars="200"/>
        <w:jc w:val="left"/>
        <w:rPr>
          <w:rFonts w:ascii="宋体" w:hAnsi="宋体" w:cs="宋体"/>
          <w:kern w:val="0"/>
          <w:sz w:val="18"/>
          <w:szCs w:val="18"/>
        </w:rPr>
      </w:pPr>
      <w:r>
        <w:rPr>
          <w:rFonts w:hint="eastAsia" w:ascii="宋体" w:hAnsi="宋体" w:cs="宋体"/>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（1）适用的法律法规要求披露的；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（2）司法部门或监管机构依法要求披露的；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kern w:val="0"/>
          <w:sz w:val="18"/>
          <w:szCs w:val="18"/>
        </w:rPr>
      </w:pPr>
      <w:r>
        <w:rPr>
          <w:rFonts w:hint="eastAsia" w:ascii="宋体" w:hAnsi="宋体" w:cs="宋体"/>
          <w:b/>
          <w:bCs/>
          <w:kern w:val="0"/>
          <w:sz w:val="18"/>
          <w:szCs w:val="18"/>
        </w:rPr>
        <w:t>（4）投资者另行明确同意或授权产品管理人进行披露的。</w:t>
      </w:r>
    </w:p>
    <w:p>
      <w:pPr>
        <w:ind w:firstLine="361" w:firstLineChars="200"/>
        <w:rPr>
          <w:rFonts w:ascii="宋体" w:hAnsi="宋体"/>
          <w:b/>
          <w:sz w:val="18"/>
          <w:szCs w:val="18"/>
        </w:rPr>
      </w:pPr>
      <w:r>
        <w:rPr>
          <w:rFonts w:hint="eastAsia" w:ascii="宋体" w:hAnsi="宋体"/>
          <w:b/>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sz w:val="18"/>
          <w:szCs w:val="18"/>
        </w:rPr>
      </w:pPr>
      <w:r>
        <w:rPr>
          <w:rFonts w:hint="eastAsia" w:ascii="宋体" w:hAnsi="宋体"/>
          <w:b/>
          <w:sz w:val="18"/>
          <w:szCs w:val="18"/>
        </w:rPr>
        <w:t>四、投诉</w:t>
      </w:r>
    </w:p>
    <w:p>
      <w:pPr>
        <w:ind w:firstLine="360" w:firstLineChars="200"/>
        <w:jc w:val="left"/>
        <w:rPr>
          <w:rFonts w:ascii="宋体" w:hAnsi="宋体" w:cs="宋体"/>
          <w:kern w:val="0"/>
          <w:sz w:val="18"/>
          <w:szCs w:val="18"/>
        </w:rPr>
      </w:pPr>
      <w:r>
        <w:rPr>
          <w:rFonts w:hint="eastAsia" w:ascii="宋体" w:hAnsi="宋体" w:cs="宋体"/>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kern w:val="0"/>
          <w:sz w:val="18"/>
          <w:szCs w:val="18"/>
        </w:rPr>
      </w:pPr>
      <w:r>
        <w:rPr>
          <w:rFonts w:hint="eastAsia" w:ascii="宋体" w:hAnsi="宋体" w:cs="宋体"/>
          <w:kern w:val="0"/>
          <w:sz w:val="18"/>
          <w:szCs w:val="18"/>
        </w:rPr>
        <w:t>销售银行各营业网均设立专员负责受理客户的投诉。</w:t>
      </w:r>
    </w:p>
    <w:p>
      <w:pPr>
        <w:ind w:firstLine="360" w:firstLineChars="200"/>
        <w:jc w:val="left"/>
        <w:rPr>
          <w:rFonts w:ascii="宋体" w:hAnsi="宋体" w:cs="宋体"/>
          <w:kern w:val="0"/>
          <w:sz w:val="18"/>
          <w:szCs w:val="18"/>
        </w:rPr>
      </w:pPr>
      <w:r>
        <w:rPr>
          <w:rFonts w:hint="eastAsia" w:ascii="宋体" w:hAnsi="宋体" w:cs="宋体"/>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kern w:val="0"/>
          <w:sz w:val="18"/>
          <w:szCs w:val="18"/>
        </w:rPr>
      </w:pPr>
      <w:r>
        <w:rPr>
          <w:rFonts w:hint="eastAsia" w:ascii="宋体" w:hAnsi="宋体" w:cs="宋体"/>
          <w:kern w:val="0"/>
          <w:sz w:val="18"/>
          <w:szCs w:val="18"/>
        </w:rPr>
        <w:t>3、各网点营业大厅显要处设立意见箱或意见簿，定期检查客户投诉记录并及时处理。</w:t>
      </w:r>
    </w:p>
    <w:p>
      <w:pPr>
        <w:ind w:firstLine="360" w:firstLineChars="200"/>
        <w:jc w:val="left"/>
        <w:rPr>
          <w:rFonts w:ascii="宋体" w:hAnsi="宋体"/>
          <w:sz w:val="18"/>
          <w:szCs w:val="18"/>
        </w:rPr>
      </w:pPr>
      <w:r>
        <w:rPr>
          <w:rFonts w:hint="eastAsia" w:ascii="宋体" w:hAnsi="宋体" w:cs="宋体"/>
          <w:kern w:val="0"/>
          <w:sz w:val="18"/>
          <w:szCs w:val="18"/>
        </w:rPr>
        <w:t>4、登陆产品管理人官方网站</w:t>
      </w:r>
      <w:r>
        <w:rPr>
          <w:rFonts w:ascii="宋体" w:hAnsi="宋体" w:cs="宋体"/>
          <w:kern w:val="0"/>
          <w:sz w:val="18"/>
          <w:szCs w:val="18"/>
          <w:u w:val="single"/>
        </w:rPr>
        <w:t>www.</w:t>
      </w:r>
      <w:r>
        <w:rPr>
          <w:rFonts w:hint="eastAsia" w:ascii="宋体" w:hAnsi="宋体" w:cs="宋体"/>
          <w:kern w:val="0"/>
          <w:sz w:val="18"/>
          <w:szCs w:val="18"/>
          <w:u w:val="single"/>
        </w:rPr>
        <w:t>csrcbank</w:t>
      </w:r>
      <w:r>
        <w:rPr>
          <w:rFonts w:ascii="宋体" w:hAnsi="宋体" w:cs="宋体"/>
          <w:kern w:val="0"/>
          <w:sz w:val="18"/>
          <w:szCs w:val="18"/>
          <w:u w:val="single"/>
        </w:rPr>
        <w:t>.com</w:t>
      </w:r>
      <w:r>
        <w:rPr>
          <w:rFonts w:hint="eastAsia" w:ascii="宋体" w:hAnsi="宋体" w:cs="宋体"/>
          <w:kern w:val="0"/>
          <w:sz w:val="18"/>
          <w:szCs w:val="18"/>
        </w:rPr>
        <w:t>进行反映，产品管理人将按照相关流程予以受理。</w:t>
      </w:r>
    </w:p>
    <w:p>
      <w:pPr>
        <w:rPr>
          <w:rFonts w:ascii="宋体" w:hAnsi="宋体"/>
          <w:b/>
          <w:bCs/>
          <w:sz w:val="18"/>
          <w:szCs w:val="18"/>
        </w:rPr>
      </w:pPr>
      <w:r>
        <w:rPr>
          <w:rFonts w:hint="eastAsia" w:ascii="宋体" w:hAnsi="宋体"/>
          <w:b/>
          <w:bCs/>
          <w:sz w:val="18"/>
          <w:szCs w:val="18"/>
        </w:rPr>
        <w:t>五、常熟农商银行联络方式：</w:t>
      </w:r>
    </w:p>
    <w:p>
      <w:pPr>
        <w:ind w:firstLine="360" w:firstLineChars="200"/>
        <w:jc w:val="left"/>
        <w:rPr>
          <w:rFonts w:ascii="宋体" w:hAnsi="宋体" w:cs="宋体"/>
          <w:kern w:val="0"/>
          <w:sz w:val="18"/>
          <w:szCs w:val="18"/>
        </w:rPr>
      </w:pPr>
      <w:r>
        <w:rPr>
          <w:rFonts w:hint="eastAsia" w:ascii="宋体" w:hAnsi="宋体" w:cs="宋体"/>
          <w:kern w:val="0"/>
          <w:sz w:val="18"/>
          <w:szCs w:val="18"/>
        </w:rPr>
        <w:t>客服电话：956020        官方网站：</w:t>
      </w:r>
      <w:r>
        <w:fldChar w:fldCharType="begin"/>
      </w:r>
      <w:r>
        <w:instrText xml:space="preserve"> HYPERLINK "http://www.csrcbank.com/" </w:instrText>
      </w:r>
      <w:r>
        <w:fldChar w:fldCharType="separate"/>
      </w:r>
      <w:r>
        <w:rPr>
          <w:rStyle w:val="12"/>
          <w:rFonts w:ascii="宋体" w:hAnsi="宋体" w:cs="宋体"/>
          <w:color w:val="auto"/>
          <w:kern w:val="0"/>
          <w:sz w:val="18"/>
          <w:szCs w:val="18"/>
        </w:rPr>
        <w:t>www.</w:t>
      </w:r>
      <w:r>
        <w:rPr>
          <w:rStyle w:val="12"/>
          <w:rFonts w:hint="eastAsia" w:ascii="宋体" w:hAnsi="宋体" w:cs="宋体"/>
          <w:color w:val="auto"/>
          <w:kern w:val="0"/>
          <w:sz w:val="18"/>
          <w:szCs w:val="18"/>
        </w:rPr>
        <w:t>csrcbank</w:t>
      </w:r>
      <w:r>
        <w:rPr>
          <w:rStyle w:val="12"/>
          <w:rFonts w:ascii="宋体" w:hAnsi="宋体" w:cs="宋体"/>
          <w:color w:val="auto"/>
          <w:kern w:val="0"/>
          <w:sz w:val="18"/>
          <w:szCs w:val="18"/>
        </w:rPr>
        <w:t>.com</w:t>
      </w:r>
      <w:r>
        <w:rPr>
          <w:rStyle w:val="12"/>
          <w:rFonts w:ascii="宋体" w:hAnsi="宋体" w:cs="宋体"/>
          <w:color w:val="auto"/>
          <w:kern w:val="0"/>
          <w:sz w:val="18"/>
          <w:szCs w:val="18"/>
        </w:rPr>
        <w:fldChar w:fldCharType="end"/>
      </w:r>
    </w:p>
    <w:p>
      <w:pPr>
        <w:jc w:val="left"/>
        <w:rPr>
          <w:rFonts w:ascii="宋体" w:hAnsi="宋体" w:cs="宋体"/>
          <w:b/>
          <w:kern w:val="0"/>
          <w:sz w:val="18"/>
          <w:szCs w:val="18"/>
        </w:rPr>
      </w:pPr>
      <w:r>
        <w:rPr>
          <w:rFonts w:hint="eastAsia" w:ascii="宋体" w:hAnsi="宋体" w:cs="宋体"/>
          <w:b/>
          <w:kern w:val="0"/>
          <w:sz w:val="18"/>
          <w:szCs w:val="18"/>
        </w:rPr>
        <w:t>六、本投资者权益须知与理财产品协议书、理财产品说明书、风险揭示书共同构成完整不可分割的理财产品合同。</w:t>
      </w: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ascii="宋体" w:hAnsi="宋体"/>
          <w:b/>
          <w:bCs/>
          <w:sz w:val="28"/>
          <w:szCs w:val="18"/>
        </w:rPr>
      </w:pPr>
      <w:r>
        <w:rPr>
          <w:rFonts w:hint="eastAsia" w:ascii="宋体" w:hAnsi="宋体"/>
          <w:b/>
          <w:bCs/>
          <w:sz w:val="28"/>
          <w:szCs w:val="18"/>
        </w:rPr>
        <w:t>理财产品协议书</w:t>
      </w:r>
    </w:p>
    <w:p>
      <w:pPr>
        <w:tabs>
          <w:tab w:val="left" w:pos="720"/>
        </w:tabs>
        <w:ind w:firstLine="360" w:firstLineChars="200"/>
        <w:jc w:val="center"/>
        <w:rPr>
          <w:rFonts w:ascii="宋体" w:hAnsi="宋体"/>
          <w:sz w:val="18"/>
          <w:szCs w:val="18"/>
        </w:rPr>
      </w:pPr>
      <w:r>
        <w:rPr>
          <w:rFonts w:hint="eastAsia" w:ascii="宋体" w:hAnsi="宋体"/>
          <w:sz w:val="18"/>
          <w:szCs w:val="18"/>
        </w:rPr>
        <w:t>（适用于常熟农商银行销售）</w:t>
      </w:r>
    </w:p>
    <w:p>
      <w:pPr>
        <w:ind w:firstLine="360" w:firstLineChars="200"/>
        <w:rPr>
          <w:rFonts w:ascii="宋体" w:hAnsi="宋体"/>
          <w:sz w:val="18"/>
          <w:szCs w:val="18"/>
        </w:rPr>
      </w:pPr>
    </w:p>
    <w:p>
      <w:pPr>
        <w:ind w:firstLine="360" w:firstLineChars="200"/>
        <w:rPr>
          <w:rFonts w:ascii="宋体" w:hAnsi="宋体"/>
          <w:sz w:val="18"/>
          <w:szCs w:val="18"/>
        </w:rPr>
      </w:pPr>
      <w:r>
        <w:rPr>
          <w:rFonts w:hint="eastAsia" w:ascii="宋体" w:hAnsi="宋体"/>
          <w:sz w:val="18"/>
          <w:szCs w:val="18"/>
        </w:rPr>
        <w:t>甲方：投资者</w:t>
      </w:r>
    </w:p>
    <w:p>
      <w:pPr>
        <w:ind w:firstLine="360" w:firstLineChars="200"/>
        <w:rPr>
          <w:rFonts w:ascii="宋体" w:hAnsi="宋体"/>
          <w:sz w:val="18"/>
          <w:szCs w:val="18"/>
        </w:rPr>
      </w:pPr>
      <w:r>
        <w:rPr>
          <w:rFonts w:hint="eastAsia" w:ascii="宋体" w:hAnsi="宋体"/>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sz w:val="18"/>
          <w:szCs w:val="18"/>
        </w:rPr>
      </w:pPr>
      <w:r>
        <w:rPr>
          <w:rFonts w:hint="eastAsia" w:ascii="宋体" w:hAnsi="宋体"/>
          <w:sz w:val="18"/>
          <w:szCs w:val="18"/>
        </w:rPr>
        <w:t>经甲方与乙方协商一致，就甲方向乙方购买理财产品，达成协议如下：</w:t>
      </w:r>
    </w:p>
    <w:p>
      <w:pPr>
        <w:tabs>
          <w:tab w:val="left" w:pos="720"/>
        </w:tabs>
        <w:rPr>
          <w:rFonts w:ascii="宋体" w:hAnsi="宋体"/>
          <w:b/>
          <w:bCs/>
          <w:sz w:val="18"/>
          <w:szCs w:val="18"/>
        </w:rPr>
      </w:pPr>
      <w:r>
        <w:rPr>
          <w:rFonts w:hint="eastAsia" w:ascii="宋体" w:hAnsi="宋体"/>
          <w:b/>
          <w:bCs/>
          <w:sz w:val="18"/>
          <w:szCs w:val="18"/>
        </w:rPr>
        <w:t>一、风险揭示</w:t>
      </w:r>
    </w:p>
    <w:p>
      <w:pPr>
        <w:tabs>
          <w:tab w:val="left" w:pos="720"/>
        </w:tabs>
        <w:ind w:firstLine="361" w:firstLineChars="200"/>
        <w:rPr>
          <w:rFonts w:ascii="宋体" w:hAnsi="宋体"/>
          <w:sz w:val="18"/>
          <w:szCs w:val="18"/>
        </w:rPr>
      </w:pPr>
      <w:r>
        <w:rPr>
          <w:rFonts w:hint="eastAsia" w:ascii="宋体" w:hAnsi="宋体"/>
          <w:b/>
          <w:bCs/>
          <w:sz w:val="18"/>
          <w:szCs w:val="18"/>
        </w:rPr>
        <w:t>理财非存款、产品有风险、投资须谨慎。</w:t>
      </w:r>
      <w:r>
        <w:rPr>
          <w:rFonts w:hint="eastAsia" w:ascii="宋体" w:hAnsi="宋体"/>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sz w:val="18"/>
          <w:szCs w:val="18"/>
        </w:rPr>
      </w:pPr>
      <w:r>
        <w:rPr>
          <w:rFonts w:hint="eastAsia" w:ascii="宋体" w:hAnsi="宋体"/>
          <w:b/>
          <w:bCs/>
          <w:sz w:val="18"/>
          <w:szCs w:val="18"/>
        </w:rPr>
        <w:t>二、甲方认购/申购金额及账户</w:t>
      </w:r>
    </w:p>
    <w:p>
      <w:pPr>
        <w:tabs>
          <w:tab w:val="left" w:pos="720"/>
        </w:tabs>
        <w:ind w:firstLine="360" w:firstLineChars="200"/>
        <w:rPr>
          <w:rFonts w:ascii="宋体" w:hAnsi="宋体"/>
          <w:sz w:val="18"/>
          <w:szCs w:val="18"/>
        </w:rPr>
      </w:pPr>
      <w:r>
        <w:rPr>
          <w:rFonts w:hint="eastAsia" w:ascii="宋体" w:hAnsi="宋体"/>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sz w:val="18"/>
          <w:szCs w:val="18"/>
        </w:rPr>
      </w:pPr>
      <w:r>
        <w:rPr>
          <w:rFonts w:hint="eastAsia" w:ascii="宋体" w:hAnsi="宋体" w:cs="宋体"/>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sz w:val="18"/>
          <w:szCs w:val="18"/>
        </w:rPr>
      </w:pPr>
      <w:r>
        <w:rPr>
          <w:rFonts w:hint="eastAsia" w:ascii="宋体" w:hAnsi="宋体" w:cs="宋体"/>
          <w:sz w:val="18"/>
          <w:szCs w:val="18"/>
        </w:rPr>
        <w:t>三、</w:t>
      </w:r>
      <w:r>
        <w:rPr>
          <w:rFonts w:hint="eastAsia" w:ascii="宋体" w:hAnsi="宋体"/>
          <w:b/>
          <w:bCs/>
          <w:sz w:val="18"/>
          <w:szCs w:val="18"/>
        </w:rPr>
        <w:t>甲方声明与承诺</w:t>
      </w:r>
    </w:p>
    <w:p>
      <w:pPr>
        <w:tabs>
          <w:tab w:val="left" w:pos="720"/>
        </w:tabs>
        <w:ind w:firstLine="360" w:firstLineChars="200"/>
        <w:rPr>
          <w:rFonts w:ascii="宋体" w:hAnsi="宋体"/>
          <w:sz w:val="18"/>
          <w:szCs w:val="18"/>
        </w:rPr>
      </w:pPr>
      <w:r>
        <w:rPr>
          <w:rFonts w:hint="eastAsia" w:ascii="宋体" w:hAnsi="宋体"/>
          <w:sz w:val="18"/>
          <w:szCs w:val="18"/>
        </w:rPr>
        <w:t>1、</w:t>
      </w:r>
      <w:r>
        <w:rPr>
          <w:rFonts w:hint="eastAsia" w:ascii="宋体" w:hAnsi="宋体"/>
          <w:b/>
          <w:bCs/>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sz w:val="18"/>
          <w:szCs w:val="18"/>
        </w:rPr>
      </w:pPr>
      <w:r>
        <w:rPr>
          <w:rFonts w:hint="eastAsia" w:ascii="宋体" w:hAnsi="宋体"/>
          <w:sz w:val="18"/>
          <w:szCs w:val="18"/>
        </w:rPr>
        <w:t>2、甲方以</w:t>
      </w:r>
      <w:r>
        <w:rPr>
          <w:rFonts w:hint="eastAsia" w:ascii="宋体" w:hAnsi="宋体"/>
          <w:b/>
          <w:bCs/>
          <w:sz w:val="18"/>
          <w:szCs w:val="18"/>
        </w:rPr>
        <w:t>本人合法所有的资金购</w:t>
      </w:r>
      <w:r>
        <w:rPr>
          <w:rFonts w:hint="eastAsia" w:ascii="宋体" w:hAnsi="宋体"/>
          <w:sz w:val="18"/>
          <w:szCs w:val="18"/>
        </w:rPr>
        <w:t>买乙方提供的产品，并能充分理解所购买产品的内容，完全知晓产品可能出现的各种风险，</w:t>
      </w:r>
      <w:r>
        <w:rPr>
          <w:rFonts w:hint="eastAsia" w:ascii="宋体" w:hAnsi="宋体"/>
          <w:b/>
          <w:bCs/>
          <w:sz w:val="18"/>
          <w:szCs w:val="18"/>
        </w:rPr>
        <w:t>愿意并能够承担风险。乙方向甲方提供的市场分析和预测仅供参考，</w:t>
      </w:r>
      <w:r>
        <w:rPr>
          <w:rFonts w:hint="eastAsia" w:ascii="宋体" w:hAnsi="宋体"/>
          <w:sz w:val="18"/>
          <w:szCs w:val="18"/>
        </w:rPr>
        <w:t>甲方据此做出的任何决策均出于甲方自身的判断。</w:t>
      </w:r>
    </w:p>
    <w:p>
      <w:pPr>
        <w:tabs>
          <w:tab w:val="left" w:pos="720"/>
        </w:tabs>
        <w:ind w:firstLine="360" w:firstLineChars="200"/>
        <w:rPr>
          <w:rFonts w:ascii="宋体" w:hAnsi="宋体"/>
          <w:sz w:val="18"/>
          <w:szCs w:val="18"/>
        </w:rPr>
      </w:pPr>
      <w:r>
        <w:rPr>
          <w:rFonts w:hint="eastAsia" w:ascii="宋体" w:hAnsi="宋体"/>
          <w:sz w:val="18"/>
          <w:szCs w:val="18"/>
        </w:rPr>
        <w:t>3、</w:t>
      </w:r>
      <w:r>
        <w:rPr>
          <w:rFonts w:hint="eastAsia" w:ascii="宋体" w:hAnsi="宋体"/>
          <w:b/>
          <w:bCs/>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sz w:val="18"/>
          <w:szCs w:val="18"/>
        </w:rPr>
      </w:pPr>
      <w:r>
        <w:rPr>
          <w:rFonts w:hint="eastAsia" w:ascii="宋体" w:hAnsi="宋体"/>
          <w:sz w:val="18"/>
          <w:szCs w:val="18"/>
        </w:rPr>
        <w:t>4、</w:t>
      </w:r>
      <w:r>
        <w:rPr>
          <w:rFonts w:hint="eastAsia" w:ascii="宋体" w:hAnsi="宋体"/>
          <w:b/>
          <w:bCs/>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sz w:val="18"/>
          <w:szCs w:val="18"/>
        </w:rPr>
      </w:pPr>
      <w:r>
        <w:rPr>
          <w:rFonts w:hint="eastAsia" w:ascii="宋体" w:hAnsi="宋体"/>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sz w:val="18"/>
          <w:szCs w:val="18"/>
        </w:rPr>
      </w:pPr>
      <w:r>
        <w:rPr>
          <w:rFonts w:hint="eastAsia" w:ascii="宋体" w:hAnsi="宋体"/>
          <w:b/>
          <w:bCs/>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sz w:val="18"/>
          <w:szCs w:val="18"/>
        </w:rPr>
      </w:pPr>
      <w:r>
        <w:rPr>
          <w:rFonts w:hint="eastAsia" w:ascii="宋体" w:hAnsi="宋体"/>
          <w:b/>
          <w:bCs/>
          <w:sz w:val="18"/>
          <w:szCs w:val="18"/>
        </w:rPr>
        <w:t>四、赎回和提前终止</w:t>
      </w:r>
    </w:p>
    <w:p>
      <w:pPr>
        <w:ind w:firstLine="360" w:firstLineChars="200"/>
        <w:rPr>
          <w:rFonts w:ascii="宋体" w:hAnsi="宋体"/>
          <w:sz w:val="18"/>
          <w:szCs w:val="18"/>
        </w:rPr>
      </w:pPr>
      <w:r>
        <w:rPr>
          <w:rFonts w:hint="eastAsia" w:ascii="宋体" w:hAnsi="宋体"/>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sz w:val="18"/>
          <w:szCs w:val="18"/>
        </w:rPr>
      </w:pPr>
      <w:r>
        <w:rPr>
          <w:rFonts w:hint="eastAsia" w:ascii="宋体" w:hAnsi="宋体"/>
          <w:sz w:val="18"/>
          <w:szCs w:val="18"/>
        </w:rPr>
        <w:t>2、对于封闭式理财产品，除非理财产品说明书另有约定，乙方不提供部分或全部提前支取理财资金服务。</w:t>
      </w:r>
    </w:p>
    <w:p>
      <w:pPr>
        <w:rPr>
          <w:rFonts w:ascii="宋体" w:hAnsi="宋体"/>
          <w:b/>
          <w:bCs/>
          <w:sz w:val="18"/>
          <w:szCs w:val="18"/>
        </w:rPr>
      </w:pPr>
      <w:r>
        <w:rPr>
          <w:rFonts w:hint="eastAsia" w:ascii="宋体" w:hAnsi="宋体"/>
          <w:b/>
          <w:bCs/>
          <w:sz w:val="18"/>
          <w:szCs w:val="18"/>
        </w:rPr>
        <w:t>五、免责</w:t>
      </w:r>
    </w:p>
    <w:p>
      <w:pPr>
        <w:ind w:firstLine="361" w:firstLineChars="200"/>
        <w:rPr>
          <w:rFonts w:ascii="宋体" w:hAnsi="宋体"/>
          <w:b/>
          <w:bCs/>
          <w:sz w:val="18"/>
          <w:szCs w:val="18"/>
        </w:rPr>
      </w:pPr>
      <w:r>
        <w:rPr>
          <w:rFonts w:hint="eastAsia" w:ascii="宋体" w:hAnsi="宋体"/>
          <w:b/>
          <w:bCs/>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sz w:val="18"/>
          <w:szCs w:val="18"/>
        </w:rPr>
      </w:pPr>
      <w:r>
        <w:rPr>
          <w:rFonts w:hint="eastAsia" w:ascii="宋体" w:hAnsi="宋体"/>
          <w:b/>
          <w:bCs/>
          <w:sz w:val="18"/>
          <w:szCs w:val="18"/>
        </w:rPr>
        <w:t>2、由于国家的有关法律、法规、规章、政策的改变、紧急措施的出台而导致的风险，乙方不承担责任。</w:t>
      </w:r>
    </w:p>
    <w:p>
      <w:pPr>
        <w:ind w:firstLine="361" w:firstLineChars="200"/>
        <w:rPr>
          <w:rFonts w:ascii="宋体" w:hAnsi="宋体"/>
          <w:b/>
          <w:bCs/>
          <w:sz w:val="18"/>
          <w:szCs w:val="18"/>
        </w:rPr>
      </w:pPr>
      <w:r>
        <w:rPr>
          <w:rFonts w:hint="eastAsia" w:ascii="宋体" w:hAnsi="宋体"/>
          <w:b/>
          <w:bCs/>
          <w:sz w:val="18"/>
          <w:szCs w:val="18"/>
        </w:rPr>
        <w:t>3、</w:t>
      </w:r>
      <w:r>
        <w:rPr>
          <w:rFonts w:hint="eastAsia" w:ascii="宋体" w:hAnsi="宋体"/>
          <w:b/>
          <w:bCs/>
          <w:spacing w:val="-3"/>
          <w:sz w:val="18"/>
          <w:szCs w:val="18"/>
        </w:rPr>
        <w:t>本协议及产品说明书中涉及的所有日期如遇非工作日，</w:t>
      </w:r>
      <w:r>
        <w:rPr>
          <w:rFonts w:hint="eastAsia" w:ascii="宋体" w:hAnsi="宋体"/>
          <w:b/>
          <w:bCs/>
          <w:sz w:val="18"/>
          <w:szCs w:val="18"/>
        </w:rPr>
        <w:t>则顺延至下一个工作日，赎回款项或到期兑付款项在途期间不支付利息，由此导致的风险，乙方不承担责任。</w:t>
      </w:r>
    </w:p>
    <w:p>
      <w:pPr>
        <w:ind w:firstLine="361" w:firstLineChars="200"/>
        <w:rPr>
          <w:rFonts w:ascii="宋体" w:hAnsi="宋体"/>
          <w:sz w:val="18"/>
          <w:szCs w:val="18"/>
        </w:rPr>
      </w:pPr>
      <w:r>
        <w:rPr>
          <w:rFonts w:hint="eastAsia" w:ascii="宋体" w:hAnsi="宋体"/>
          <w:b/>
          <w:bCs/>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sz w:val="18"/>
          <w:szCs w:val="18"/>
        </w:rPr>
      </w:pPr>
      <w:r>
        <w:rPr>
          <w:rFonts w:hint="eastAsia" w:ascii="宋体" w:hAnsi="宋体"/>
          <w:b/>
          <w:bCs/>
          <w:sz w:val="18"/>
          <w:szCs w:val="18"/>
        </w:rPr>
        <w:t>六、争议解决</w:t>
      </w:r>
    </w:p>
    <w:p>
      <w:pPr>
        <w:ind w:firstLine="360" w:firstLineChars="200"/>
        <w:rPr>
          <w:rFonts w:ascii="宋体" w:hAnsi="宋体"/>
          <w:sz w:val="18"/>
          <w:szCs w:val="18"/>
        </w:rPr>
      </w:pPr>
      <w:r>
        <w:rPr>
          <w:rFonts w:hint="eastAsia" w:ascii="宋体" w:hAnsi="宋体"/>
          <w:sz w:val="18"/>
          <w:szCs w:val="18"/>
        </w:rPr>
        <w:t>因履行本协议而引致的一切争议，双方应首先本着诚实信用原则通过协商解决。不能协商解决的，</w:t>
      </w:r>
      <w:r>
        <w:rPr>
          <w:rFonts w:hint="eastAsia" w:ascii="宋体" w:hAnsi="宋体"/>
          <w:b/>
          <w:bCs/>
          <w:sz w:val="18"/>
          <w:szCs w:val="18"/>
        </w:rPr>
        <w:t>提交乙方所在地有管辖权人民法院诉讼解决。</w:t>
      </w:r>
    </w:p>
    <w:p>
      <w:pPr>
        <w:rPr>
          <w:rFonts w:ascii="宋体" w:hAnsi="宋体"/>
          <w:b/>
          <w:bCs/>
          <w:sz w:val="18"/>
          <w:szCs w:val="18"/>
        </w:rPr>
      </w:pPr>
      <w:r>
        <w:rPr>
          <w:rFonts w:hint="eastAsia" w:ascii="宋体" w:hAnsi="宋体"/>
          <w:b/>
          <w:bCs/>
          <w:sz w:val="18"/>
          <w:szCs w:val="18"/>
        </w:rPr>
        <w:t>七、协议的成立、生效及终止</w:t>
      </w:r>
    </w:p>
    <w:p>
      <w:pPr>
        <w:ind w:firstLine="360" w:firstLineChars="200"/>
        <w:rPr>
          <w:rFonts w:ascii="宋体" w:hAnsi="宋体"/>
          <w:b/>
          <w:bCs/>
          <w:sz w:val="18"/>
          <w:szCs w:val="18"/>
        </w:rPr>
      </w:pPr>
      <w:r>
        <w:rPr>
          <w:rFonts w:hint="eastAsia" w:ascii="宋体" w:hAnsi="宋体"/>
          <w:sz w:val="18"/>
          <w:szCs w:val="18"/>
        </w:rPr>
        <w:t>1、本协议通过乙方柜面签署的，在甲方</w:t>
      </w:r>
      <w:r>
        <w:rPr>
          <w:rFonts w:hint="eastAsia" w:ascii="宋体" w:hAnsi="宋体"/>
          <w:sz w:val="18"/>
          <w:szCs w:val="18"/>
          <w:lang w:eastAsia="zh-CN"/>
        </w:rPr>
        <w:t>签名或按指印</w:t>
      </w:r>
      <w:r>
        <w:rPr>
          <w:rFonts w:hint="eastAsia" w:ascii="宋体" w:hAnsi="宋体"/>
          <w:sz w:val="18"/>
          <w:szCs w:val="18"/>
        </w:rPr>
        <w:t>（甲方为自然人）或甲方加盖</w:t>
      </w:r>
      <w:r>
        <w:rPr>
          <w:rFonts w:hint="eastAsia" w:ascii="宋体" w:hAnsi="宋体"/>
          <w:sz w:val="18"/>
          <w:szCs w:val="18"/>
          <w:lang w:eastAsia="zh-CN"/>
        </w:rPr>
        <w:t>预留印鉴</w:t>
      </w:r>
      <w:r>
        <w:rPr>
          <w:rFonts w:hint="eastAsia" w:ascii="宋体" w:hAnsi="宋体"/>
          <w:sz w:val="18"/>
          <w:szCs w:val="18"/>
        </w:rPr>
        <w:t>（甲方为机构）且乙方加盖业务章之日起成立；</w:t>
      </w:r>
      <w:r>
        <w:rPr>
          <w:rFonts w:hint="eastAsia" w:ascii="宋体" w:hAnsi="宋体"/>
          <w:b/>
          <w:bCs/>
          <w:sz w:val="18"/>
          <w:szCs w:val="18"/>
        </w:rPr>
        <w:t>本协议通过乙方网上银行、手机银行、VTM等电子渠道签署的，自甲方（自然人/机构）在电子渠道端自行点击确认后成立。</w:t>
      </w:r>
    </w:p>
    <w:p>
      <w:pPr>
        <w:ind w:firstLine="361" w:firstLineChars="200"/>
        <w:rPr>
          <w:rFonts w:ascii="宋体" w:hAnsi="宋体"/>
          <w:b/>
          <w:bCs/>
          <w:sz w:val="18"/>
          <w:szCs w:val="18"/>
        </w:rPr>
      </w:pPr>
      <w:r>
        <w:rPr>
          <w:rFonts w:hint="eastAsia" w:ascii="宋体" w:hAnsi="宋体"/>
          <w:b/>
          <w:bCs/>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sz w:val="18"/>
          <w:szCs w:val="18"/>
        </w:rPr>
      </w:pPr>
      <w:r>
        <w:rPr>
          <w:rFonts w:hint="eastAsia" w:ascii="宋体" w:hAnsi="宋体"/>
          <w:b/>
          <w:bCs/>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sz w:val="18"/>
          <w:szCs w:val="18"/>
        </w:rPr>
      </w:pPr>
      <w:r>
        <w:rPr>
          <w:rFonts w:hint="eastAsia" w:ascii="宋体" w:hAnsi="宋体"/>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sz w:val="18"/>
          <w:szCs w:val="18"/>
        </w:rPr>
      </w:pPr>
      <w:r>
        <w:rPr>
          <w:rFonts w:hint="eastAsia" w:ascii="宋体" w:hAnsi="宋体"/>
          <w:b/>
          <w:bCs/>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sz w:val="18"/>
          <w:szCs w:val="18"/>
        </w:rPr>
      </w:pPr>
      <w:r>
        <w:rPr>
          <w:rFonts w:hint="eastAsia" w:ascii="宋体" w:hAnsi="宋体"/>
          <w:b/>
          <w:bCs/>
          <w:sz w:val="18"/>
          <w:szCs w:val="18"/>
        </w:rPr>
        <w:t>八、附则</w:t>
      </w:r>
    </w:p>
    <w:p>
      <w:pPr>
        <w:ind w:firstLine="361" w:firstLineChars="200"/>
        <w:rPr>
          <w:rFonts w:ascii="宋体" w:hAnsi="宋体"/>
          <w:b/>
          <w:bCs/>
          <w:sz w:val="18"/>
          <w:szCs w:val="18"/>
        </w:rPr>
      </w:pPr>
      <w:r>
        <w:rPr>
          <w:rFonts w:hint="eastAsia" w:ascii="宋体" w:hAnsi="宋体"/>
          <w:b/>
          <w:bCs/>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sz w:val="18"/>
          <w:szCs w:val="18"/>
        </w:rPr>
      </w:pPr>
      <w:r>
        <w:rPr>
          <w:rFonts w:hint="eastAsia" w:ascii="宋体" w:hAnsi="宋体"/>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szCs w:val="21"/>
          <w:u w:val="single"/>
        </w:rPr>
      </w:pPr>
      <w:r>
        <w:rPr>
          <w:rFonts w:hint="eastAsia" w:ascii="宋体" w:hAnsi="宋体" w:cs="宋体"/>
          <w:b/>
          <w:bCs/>
          <w:i/>
          <w:iCs/>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甲方                                          乙方（</w:t>
      </w:r>
      <w:r>
        <w:rPr>
          <w:rFonts w:hint="eastAsia" w:ascii="宋体" w:hAnsi="宋体" w:cs="宋体"/>
          <w:sz w:val="18"/>
          <w:szCs w:val="18"/>
          <w:lang w:eastAsia="zh-CN"/>
        </w:rPr>
        <w:t>业务章</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机构</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预留印鉴</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个人</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签名或按指印</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napToGrid/>
        <w:spacing w:beforeLines="0" w:line="320" w:lineRule="exact"/>
        <w:jc w:val="both"/>
      </w:pPr>
      <w:r>
        <w:rPr>
          <w:rFonts w:hint="eastAsia" w:ascii="宋体" w:hAnsi="宋体" w:cs="宋体"/>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TimesNewRomanPSMT">
    <w:altName w:val="Times New Roman"/>
    <w:panose1 w:val="00000000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5</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0D68"/>
    <w:rsid w:val="000027BD"/>
    <w:rsid w:val="00002E97"/>
    <w:rsid w:val="00004F37"/>
    <w:rsid w:val="00006269"/>
    <w:rsid w:val="00007C51"/>
    <w:rsid w:val="0001135D"/>
    <w:rsid w:val="0001614C"/>
    <w:rsid w:val="000200A7"/>
    <w:rsid w:val="000309B4"/>
    <w:rsid w:val="00037BF0"/>
    <w:rsid w:val="00040800"/>
    <w:rsid w:val="00046F90"/>
    <w:rsid w:val="00050D3D"/>
    <w:rsid w:val="00050F51"/>
    <w:rsid w:val="00052A6F"/>
    <w:rsid w:val="000572BC"/>
    <w:rsid w:val="000620BD"/>
    <w:rsid w:val="000705DB"/>
    <w:rsid w:val="00071348"/>
    <w:rsid w:val="00073CF2"/>
    <w:rsid w:val="00082576"/>
    <w:rsid w:val="00082D74"/>
    <w:rsid w:val="00083C00"/>
    <w:rsid w:val="000904BB"/>
    <w:rsid w:val="00092518"/>
    <w:rsid w:val="00092599"/>
    <w:rsid w:val="000940EC"/>
    <w:rsid w:val="000A26AD"/>
    <w:rsid w:val="000A38CD"/>
    <w:rsid w:val="000B1565"/>
    <w:rsid w:val="000B1658"/>
    <w:rsid w:val="000C092F"/>
    <w:rsid w:val="000C119D"/>
    <w:rsid w:val="000C7D50"/>
    <w:rsid w:val="000D0084"/>
    <w:rsid w:val="000D0DBD"/>
    <w:rsid w:val="000D188C"/>
    <w:rsid w:val="000D6471"/>
    <w:rsid w:val="000D6D34"/>
    <w:rsid w:val="000D734B"/>
    <w:rsid w:val="000E04D1"/>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72A27"/>
    <w:rsid w:val="00177041"/>
    <w:rsid w:val="00177C69"/>
    <w:rsid w:val="0018231F"/>
    <w:rsid w:val="00183BCC"/>
    <w:rsid w:val="0018612E"/>
    <w:rsid w:val="001877F9"/>
    <w:rsid w:val="0019014E"/>
    <w:rsid w:val="00192B95"/>
    <w:rsid w:val="00193245"/>
    <w:rsid w:val="001A610C"/>
    <w:rsid w:val="001A7D16"/>
    <w:rsid w:val="001A7F2B"/>
    <w:rsid w:val="001B0F60"/>
    <w:rsid w:val="001B7B35"/>
    <w:rsid w:val="001D6EDD"/>
    <w:rsid w:val="001E2117"/>
    <w:rsid w:val="001E728C"/>
    <w:rsid w:val="001F12FF"/>
    <w:rsid w:val="001F18D9"/>
    <w:rsid w:val="001F720C"/>
    <w:rsid w:val="00204045"/>
    <w:rsid w:val="002047A0"/>
    <w:rsid w:val="002117AD"/>
    <w:rsid w:val="002162BC"/>
    <w:rsid w:val="00216C80"/>
    <w:rsid w:val="002258C7"/>
    <w:rsid w:val="0023131A"/>
    <w:rsid w:val="00234B1F"/>
    <w:rsid w:val="002355E3"/>
    <w:rsid w:val="002358E2"/>
    <w:rsid w:val="002406FA"/>
    <w:rsid w:val="00244E03"/>
    <w:rsid w:val="00246300"/>
    <w:rsid w:val="0024645B"/>
    <w:rsid w:val="00252EA7"/>
    <w:rsid w:val="00254D26"/>
    <w:rsid w:val="00263FEF"/>
    <w:rsid w:val="00264D16"/>
    <w:rsid w:val="00272EFE"/>
    <w:rsid w:val="00284192"/>
    <w:rsid w:val="0028792B"/>
    <w:rsid w:val="0029733A"/>
    <w:rsid w:val="00297BAD"/>
    <w:rsid w:val="002B10DD"/>
    <w:rsid w:val="002B7661"/>
    <w:rsid w:val="002C0425"/>
    <w:rsid w:val="002C2646"/>
    <w:rsid w:val="002C353D"/>
    <w:rsid w:val="002C3A1C"/>
    <w:rsid w:val="002C5EA8"/>
    <w:rsid w:val="002D5BEE"/>
    <w:rsid w:val="002D6A90"/>
    <w:rsid w:val="002D747A"/>
    <w:rsid w:val="002F3337"/>
    <w:rsid w:val="002F71CD"/>
    <w:rsid w:val="00301769"/>
    <w:rsid w:val="003020E6"/>
    <w:rsid w:val="00305F34"/>
    <w:rsid w:val="0031770F"/>
    <w:rsid w:val="00323BEA"/>
    <w:rsid w:val="0032433B"/>
    <w:rsid w:val="0032434A"/>
    <w:rsid w:val="00331B62"/>
    <w:rsid w:val="00334E08"/>
    <w:rsid w:val="0033621C"/>
    <w:rsid w:val="0034091D"/>
    <w:rsid w:val="0034102D"/>
    <w:rsid w:val="00353046"/>
    <w:rsid w:val="0035333B"/>
    <w:rsid w:val="00357F9C"/>
    <w:rsid w:val="00360556"/>
    <w:rsid w:val="0036056B"/>
    <w:rsid w:val="003624BB"/>
    <w:rsid w:val="00362E77"/>
    <w:rsid w:val="00367062"/>
    <w:rsid w:val="00367FC8"/>
    <w:rsid w:val="00371957"/>
    <w:rsid w:val="00371E84"/>
    <w:rsid w:val="00374C4E"/>
    <w:rsid w:val="00376C78"/>
    <w:rsid w:val="003812D4"/>
    <w:rsid w:val="00393716"/>
    <w:rsid w:val="00393F48"/>
    <w:rsid w:val="0039465A"/>
    <w:rsid w:val="003974A7"/>
    <w:rsid w:val="003A0DD2"/>
    <w:rsid w:val="003A381D"/>
    <w:rsid w:val="003A630B"/>
    <w:rsid w:val="003B0FE0"/>
    <w:rsid w:val="003B480F"/>
    <w:rsid w:val="003B5C6E"/>
    <w:rsid w:val="003C0A3E"/>
    <w:rsid w:val="003C3778"/>
    <w:rsid w:val="003C4812"/>
    <w:rsid w:val="003C7401"/>
    <w:rsid w:val="003D11AC"/>
    <w:rsid w:val="003D3CB2"/>
    <w:rsid w:val="003F4C92"/>
    <w:rsid w:val="003F544F"/>
    <w:rsid w:val="003F65E8"/>
    <w:rsid w:val="0040117D"/>
    <w:rsid w:val="004075BE"/>
    <w:rsid w:val="00413D5E"/>
    <w:rsid w:val="00415078"/>
    <w:rsid w:val="0042054B"/>
    <w:rsid w:val="00424027"/>
    <w:rsid w:val="00430B9B"/>
    <w:rsid w:val="00435BAC"/>
    <w:rsid w:val="0044019E"/>
    <w:rsid w:val="004402E9"/>
    <w:rsid w:val="00456A72"/>
    <w:rsid w:val="00461520"/>
    <w:rsid w:val="00461C7A"/>
    <w:rsid w:val="00464198"/>
    <w:rsid w:val="00467882"/>
    <w:rsid w:val="00470ED3"/>
    <w:rsid w:val="00472CCE"/>
    <w:rsid w:val="004767CF"/>
    <w:rsid w:val="00480262"/>
    <w:rsid w:val="00480B5E"/>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313B"/>
    <w:rsid w:val="004D7425"/>
    <w:rsid w:val="004D7CA4"/>
    <w:rsid w:val="004F1635"/>
    <w:rsid w:val="004F1C97"/>
    <w:rsid w:val="004F2B13"/>
    <w:rsid w:val="004F7B79"/>
    <w:rsid w:val="00501909"/>
    <w:rsid w:val="00503782"/>
    <w:rsid w:val="0050676E"/>
    <w:rsid w:val="00514DA9"/>
    <w:rsid w:val="0051556B"/>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96E70"/>
    <w:rsid w:val="005973FA"/>
    <w:rsid w:val="005A1E71"/>
    <w:rsid w:val="005A2C9F"/>
    <w:rsid w:val="005A41DF"/>
    <w:rsid w:val="005A55D2"/>
    <w:rsid w:val="005C10FB"/>
    <w:rsid w:val="005C5ED5"/>
    <w:rsid w:val="005D108F"/>
    <w:rsid w:val="005D1594"/>
    <w:rsid w:val="005E1A0D"/>
    <w:rsid w:val="005E2307"/>
    <w:rsid w:val="005E2ADE"/>
    <w:rsid w:val="005E7EFD"/>
    <w:rsid w:val="005F01A4"/>
    <w:rsid w:val="005F0AE6"/>
    <w:rsid w:val="006024E4"/>
    <w:rsid w:val="00607855"/>
    <w:rsid w:val="00612D21"/>
    <w:rsid w:val="00612DDD"/>
    <w:rsid w:val="006248DB"/>
    <w:rsid w:val="00626FFE"/>
    <w:rsid w:val="006323A6"/>
    <w:rsid w:val="006331A9"/>
    <w:rsid w:val="006413A7"/>
    <w:rsid w:val="006450DA"/>
    <w:rsid w:val="00651ECA"/>
    <w:rsid w:val="006520D2"/>
    <w:rsid w:val="0065540E"/>
    <w:rsid w:val="00661E10"/>
    <w:rsid w:val="0066439A"/>
    <w:rsid w:val="006675AD"/>
    <w:rsid w:val="00667F58"/>
    <w:rsid w:val="006740C6"/>
    <w:rsid w:val="0068493A"/>
    <w:rsid w:val="00684A77"/>
    <w:rsid w:val="00686FC8"/>
    <w:rsid w:val="00696D72"/>
    <w:rsid w:val="006A2A3F"/>
    <w:rsid w:val="006A5A3C"/>
    <w:rsid w:val="006B5758"/>
    <w:rsid w:val="006B7049"/>
    <w:rsid w:val="006B7CF4"/>
    <w:rsid w:val="006C0B20"/>
    <w:rsid w:val="006C594D"/>
    <w:rsid w:val="006D5F2D"/>
    <w:rsid w:val="006E5A04"/>
    <w:rsid w:val="006F584E"/>
    <w:rsid w:val="007119A1"/>
    <w:rsid w:val="0071290A"/>
    <w:rsid w:val="007200CF"/>
    <w:rsid w:val="0073261C"/>
    <w:rsid w:val="00734C13"/>
    <w:rsid w:val="007362D1"/>
    <w:rsid w:val="007430A8"/>
    <w:rsid w:val="00751749"/>
    <w:rsid w:val="007538F6"/>
    <w:rsid w:val="00755143"/>
    <w:rsid w:val="0075595E"/>
    <w:rsid w:val="007613EF"/>
    <w:rsid w:val="00762C40"/>
    <w:rsid w:val="00762C46"/>
    <w:rsid w:val="00767C3E"/>
    <w:rsid w:val="0079155E"/>
    <w:rsid w:val="007A1F1C"/>
    <w:rsid w:val="007A6F41"/>
    <w:rsid w:val="007A6FBC"/>
    <w:rsid w:val="007A7049"/>
    <w:rsid w:val="007A79E4"/>
    <w:rsid w:val="007B095C"/>
    <w:rsid w:val="007B3166"/>
    <w:rsid w:val="007B7DA1"/>
    <w:rsid w:val="007C6F57"/>
    <w:rsid w:val="007C7860"/>
    <w:rsid w:val="007D0741"/>
    <w:rsid w:val="007D3A23"/>
    <w:rsid w:val="007D4FD0"/>
    <w:rsid w:val="007D6A69"/>
    <w:rsid w:val="007E6D85"/>
    <w:rsid w:val="007F00A7"/>
    <w:rsid w:val="007F1951"/>
    <w:rsid w:val="007F1C38"/>
    <w:rsid w:val="007F2B72"/>
    <w:rsid w:val="007F45CA"/>
    <w:rsid w:val="007F6EC2"/>
    <w:rsid w:val="007F7762"/>
    <w:rsid w:val="00804631"/>
    <w:rsid w:val="008059BC"/>
    <w:rsid w:val="008066AB"/>
    <w:rsid w:val="00810D44"/>
    <w:rsid w:val="008125BE"/>
    <w:rsid w:val="00812EEC"/>
    <w:rsid w:val="00813225"/>
    <w:rsid w:val="00815B3E"/>
    <w:rsid w:val="00816ADA"/>
    <w:rsid w:val="00833F0D"/>
    <w:rsid w:val="008347F9"/>
    <w:rsid w:val="00836882"/>
    <w:rsid w:val="00837D56"/>
    <w:rsid w:val="00841E56"/>
    <w:rsid w:val="008424A3"/>
    <w:rsid w:val="008458CB"/>
    <w:rsid w:val="0085133C"/>
    <w:rsid w:val="0085517A"/>
    <w:rsid w:val="00856C2E"/>
    <w:rsid w:val="0085700D"/>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428E7"/>
    <w:rsid w:val="00947326"/>
    <w:rsid w:val="00950070"/>
    <w:rsid w:val="00960A43"/>
    <w:rsid w:val="0096310B"/>
    <w:rsid w:val="009633BC"/>
    <w:rsid w:val="009740E1"/>
    <w:rsid w:val="0097512E"/>
    <w:rsid w:val="0097605E"/>
    <w:rsid w:val="009770C3"/>
    <w:rsid w:val="00977511"/>
    <w:rsid w:val="00980552"/>
    <w:rsid w:val="0099340D"/>
    <w:rsid w:val="009949C4"/>
    <w:rsid w:val="009A1701"/>
    <w:rsid w:val="009B04B1"/>
    <w:rsid w:val="009B2387"/>
    <w:rsid w:val="009C1267"/>
    <w:rsid w:val="009C6675"/>
    <w:rsid w:val="009C6BF3"/>
    <w:rsid w:val="009C7092"/>
    <w:rsid w:val="009D33A0"/>
    <w:rsid w:val="009D7CF5"/>
    <w:rsid w:val="009D7DE3"/>
    <w:rsid w:val="009E2CA4"/>
    <w:rsid w:val="009E6637"/>
    <w:rsid w:val="009F2F46"/>
    <w:rsid w:val="009F44C1"/>
    <w:rsid w:val="009F476D"/>
    <w:rsid w:val="009F4E97"/>
    <w:rsid w:val="00A02D36"/>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5311F"/>
    <w:rsid w:val="00A532DF"/>
    <w:rsid w:val="00A60FF4"/>
    <w:rsid w:val="00A62098"/>
    <w:rsid w:val="00A648E7"/>
    <w:rsid w:val="00A6706A"/>
    <w:rsid w:val="00A67218"/>
    <w:rsid w:val="00A71E4E"/>
    <w:rsid w:val="00A735C0"/>
    <w:rsid w:val="00A8022E"/>
    <w:rsid w:val="00A81922"/>
    <w:rsid w:val="00A90C90"/>
    <w:rsid w:val="00A91AB9"/>
    <w:rsid w:val="00A91F30"/>
    <w:rsid w:val="00A92645"/>
    <w:rsid w:val="00A96F1B"/>
    <w:rsid w:val="00A97361"/>
    <w:rsid w:val="00AA3A62"/>
    <w:rsid w:val="00AA5FCC"/>
    <w:rsid w:val="00AB3F6F"/>
    <w:rsid w:val="00AB5088"/>
    <w:rsid w:val="00AB58EE"/>
    <w:rsid w:val="00AC655C"/>
    <w:rsid w:val="00AD4D7B"/>
    <w:rsid w:val="00AE50AD"/>
    <w:rsid w:val="00AE67B8"/>
    <w:rsid w:val="00AF284C"/>
    <w:rsid w:val="00B06A0C"/>
    <w:rsid w:val="00B122C4"/>
    <w:rsid w:val="00B13F64"/>
    <w:rsid w:val="00B26BB1"/>
    <w:rsid w:val="00B345D6"/>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2279"/>
    <w:rsid w:val="00BA6902"/>
    <w:rsid w:val="00BB1789"/>
    <w:rsid w:val="00BB31DE"/>
    <w:rsid w:val="00BB7F10"/>
    <w:rsid w:val="00BC010C"/>
    <w:rsid w:val="00BC4A09"/>
    <w:rsid w:val="00BC7C9D"/>
    <w:rsid w:val="00BD24BF"/>
    <w:rsid w:val="00BE0FDA"/>
    <w:rsid w:val="00BF2DF8"/>
    <w:rsid w:val="00BF32F7"/>
    <w:rsid w:val="00C111F2"/>
    <w:rsid w:val="00C1570B"/>
    <w:rsid w:val="00C17406"/>
    <w:rsid w:val="00C26AF4"/>
    <w:rsid w:val="00C31E82"/>
    <w:rsid w:val="00C320A6"/>
    <w:rsid w:val="00C33231"/>
    <w:rsid w:val="00C431A4"/>
    <w:rsid w:val="00C45F23"/>
    <w:rsid w:val="00C55EEA"/>
    <w:rsid w:val="00C56B8F"/>
    <w:rsid w:val="00C754D8"/>
    <w:rsid w:val="00C75DBC"/>
    <w:rsid w:val="00C8030B"/>
    <w:rsid w:val="00C830C6"/>
    <w:rsid w:val="00C85B5B"/>
    <w:rsid w:val="00C905BF"/>
    <w:rsid w:val="00CA03B6"/>
    <w:rsid w:val="00CA2643"/>
    <w:rsid w:val="00CB2567"/>
    <w:rsid w:val="00CB3B67"/>
    <w:rsid w:val="00CC1FCF"/>
    <w:rsid w:val="00CC3E30"/>
    <w:rsid w:val="00CC506F"/>
    <w:rsid w:val="00CD2131"/>
    <w:rsid w:val="00CD27E1"/>
    <w:rsid w:val="00CD79A6"/>
    <w:rsid w:val="00CE1560"/>
    <w:rsid w:val="00CE5FC2"/>
    <w:rsid w:val="00CF63A7"/>
    <w:rsid w:val="00D00877"/>
    <w:rsid w:val="00D03B67"/>
    <w:rsid w:val="00D11E40"/>
    <w:rsid w:val="00D13BF8"/>
    <w:rsid w:val="00D13F0E"/>
    <w:rsid w:val="00D142E5"/>
    <w:rsid w:val="00D15218"/>
    <w:rsid w:val="00D17B37"/>
    <w:rsid w:val="00D214FA"/>
    <w:rsid w:val="00D21FB6"/>
    <w:rsid w:val="00D252A1"/>
    <w:rsid w:val="00D45865"/>
    <w:rsid w:val="00D47609"/>
    <w:rsid w:val="00D51B72"/>
    <w:rsid w:val="00D64C20"/>
    <w:rsid w:val="00D7145B"/>
    <w:rsid w:val="00D71A80"/>
    <w:rsid w:val="00D74FC5"/>
    <w:rsid w:val="00D843BF"/>
    <w:rsid w:val="00D90F4F"/>
    <w:rsid w:val="00D94982"/>
    <w:rsid w:val="00DA647A"/>
    <w:rsid w:val="00DA652C"/>
    <w:rsid w:val="00DB1E99"/>
    <w:rsid w:val="00DB49D1"/>
    <w:rsid w:val="00DC1C18"/>
    <w:rsid w:val="00DC477D"/>
    <w:rsid w:val="00DC48B1"/>
    <w:rsid w:val="00DD1169"/>
    <w:rsid w:val="00DD23AA"/>
    <w:rsid w:val="00DD4F0E"/>
    <w:rsid w:val="00DD557B"/>
    <w:rsid w:val="00DE2077"/>
    <w:rsid w:val="00DF0B0A"/>
    <w:rsid w:val="00DF2377"/>
    <w:rsid w:val="00DF795E"/>
    <w:rsid w:val="00E07F75"/>
    <w:rsid w:val="00E177B3"/>
    <w:rsid w:val="00E20AA0"/>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65EE"/>
    <w:rsid w:val="00F87A26"/>
    <w:rsid w:val="00F91724"/>
    <w:rsid w:val="00F94672"/>
    <w:rsid w:val="00FA18CB"/>
    <w:rsid w:val="00FA3DFA"/>
    <w:rsid w:val="00FA4DB3"/>
    <w:rsid w:val="00FA658B"/>
    <w:rsid w:val="00FA7B09"/>
    <w:rsid w:val="00FC0050"/>
    <w:rsid w:val="00FE0B25"/>
    <w:rsid w:val="00FE0BF4"/>
    <w:rsid w:val="00FE2DA8"/>
    <w:rsid w:val="00FE3DD6"/>
    <w:rsid w:val="00FE657D"/>
    <w:rsid w:val="00FF3398"/>
    <w:rsid w:val="00FF460C"/>
    <w:rsid w:val="015107E6"/>
    <w:rsid w:val="01B55FB0"/>
    <w:rsid w:val="01DF631E"/>
    <w:rsid w:val="020277D8"/>
    <w:rsid w:val="021054A3"/>
    <w:rsid w:val="02485D4E"/>
    <w:rsid w:val="02840131"/>
    <w:rsid w:val="028E264D"/>
    <w:rsid w:val="02C14713"/>
    <w:rsid w:val="02EF77E1"/>
    <w:rsid w:val="03101F14"/>
    <w:rsid w:val="03243133"/>
    <w:rsid w:val="036C6DAA"/>
    <w:rsid w:val="03E531F1"/>
    <w:rsid w:val="04815B5D"/>
    <w:rsid w:val="048C0506"/>
    <w:rsid w:val="04B83B49"/>
    <w:rsid w:val="04EF11D6"/>
    <w:rsid w:val="05066B4B"/>
    <w:rsid w:val="052520D3"/>
    <w:rsid w:val="053B19FF"/>
    <w:rsid w:val="053C7261"/>
    <w:rsid w:val="05592B90"/>
    <w:rsid w:val="05711A7E"/>
    <w:rsid w:val="05862D1E"/>
    <w:rsid w:val="05892D7F"/>
    <w:rsid w:val="058C00A9"/>
    <w:rsid w:val="05B437EC"/>
    <w:rsid w:val="05C66F89"/>
    <w:rsid w:val="05F2584F"/>
    <w:rsid w:val="06187C8D"/>
    <w:rsid w:val="064A5EDE"/>
    <w:rsid w:val="06721621"/>
    <w:rsid w:val="068B4749"/>
    <w:rsid w:val="069A535A"/>
    <w:rsid w:val="06B8127F"/>
    <w:rsid w:val="06BA258E"/>
    <w:rsid w:val="070F49A2"/>
    <w:rsid w:val="072B6851"/>
    <w:rsid w:val="07726BC0"/>
    <w:rsid w:val="077730CD"/>
    <w:rsid w:val="078F39B9"/>
    <w:rsid w:val="07B55485"/>
    <w:rsid w:val="07BA06BE"/>
    <w:rsid w:val="07C74150"/>
    <w:rsid w:val="08296773"/>
    <w:rsid w:val="084837A5"/>
    <w:rsid w:val="08487F22"/>
    <w:rsid w:val="085262B3"/>
    <w:rsid w:val="086246CF"/>
    <w:rsid w:val="086D2969"/>
    <w:rsid w:val="08B140CE"/>
    <w:rsid w:val="08C1490D"/>
    <w:rsid w:val="08F961E4"/>
    <w:rsid w:val="091842E1"/>
    <w:rsid w:val="098E0800"/>
    <w:rsid w:val="09A83DA7"/>
    <w:rsid w:val="09B707B1"/>
    <w:rsid w:val="09D94E35"/>
    <w:rsid w:val="09DD76C5"/>
    <w:rsid w:val="09FB2DEB"/>
    <w:rsid w:val="0A3B3BD5"/>
    <w:rsid w:val="0A436A63"/>
    <w:rsid w:val="0A5C798D"/>
    <w:rsid w:val="0A697B87"/>
    <w:rsid w:val="0A8E1461"/>
    <w:rsid w:val="0A95442C"/>
    <w:rsid w:val="0A9C2975"/>
    <w:rsid w:val="0AB74823"/>
    <w:rsid w:val="0AC57691"/>
    <w:rsid w:val="0B322C9A"/>
    <w:rsid w:val="0B744BD6"/>
    <w:rsid w:val="0B921C08"/>
    <w:rsid w:val="0BE36CA3"/>
    <w:rsid w:val="0BF82C31"/>
    <w:rsid w:val="0C6D0671"/>
    <w:rsid w:val="0C6E04EF"/>
    <w:rsid w:val="0CA37B83"/>
    <w:rsid w:val="0CAB26D5"/>
    <w:rsid w:val="0CB17E61"/>
    <w:rsid w:val="0CD87D21"/>
    <w:rsid w:val="0CF031C9"/>
    <w:rsid w:val="0D552B6D"/>
    <w:rsid w:val="0D7359A1"/>
    <w:rsid w:val="0D9C536D"/>
    <w:rsid w:val="0DF0158F"/>
    <w:rsid w:val="0E0A3916"/>
    <w:rsid w:val="0E183F30"/>
    <w:rsid w:val="0E1A7433"/>
    <w:rsid w:val="0E20157A"/>
    <w:rsid w:val="0E8C5D7C"/>
    <w:rsid w:val="0E8F15F0"/>
    <w:rsid w:val="0F8D0BCA"/>
    <w:rsid w:val="1013142C"/>
    <w:rsid w:val="10183676"/>
    <w:rsid w:val="103764A9"/>
    <w:rsid w:val="105B1B61"/>
    <w:rsid w:val="10807BA2"/>
    <w:rsid w:val="10997447"/>
    <w:rsid w:val="10A854E3"/>
    <w:rsid w:val="10EB2B4F"/>
    <w:rsid w:val="11044578"/>
    <w:rsid w:val="111A33D9"/>
    <w:rsid w:val="114A726B"/>
    <w:rsid w:val="116B08B9"/>
    <w:rsid w:val="116F3C27"/>
    <w:rsid w:val="1186384C"/>
    <w:rsid w:val="119879C4"/>
    <w:rsid w:val="11D3174D"/>
    <w:rsid w:val="12111CE2"/>
    <w:rsid w:val="12324EB9"/>
    <w:rsid w:val="12374872"/>
    <w:rsid w:val="12466B15"/>
    <w:rsid w:val="125170B3"/>
    <w:rsid w:val="125633BB"/>
    <w:rsid w:val="125A0EB1"/>
    <w:rsid w:val="128F1B00"/>
    <w:rsid w:val="12A32D1F"/>
    <w:rsid w:val="12C630C5"/>
    <w:rsid w:val="12C82F5F"/>
    <w:rsid w:val="13180760"/>
    <w:rsid w:val="13853312"/>
    <w:rsid w:val="13860D94"/>
    <w:rsid w:val="139D423C"/>
    <w:rsid w:val="13AD22D8"/>
    <w:rsid w:val="13B35317"/>
    <w:rsid w:val="13E56022"/>
    <w:rsid w:val="13E834C0"/>
    <w:rsid w:val="13FC2057"/>
    <w:rsid w:val="142D60AA"/>
    <w:rsid w:val="14480E52"/>
    <w:rsid w:val="1462527F"/>
    <w:rsid w:val="147B3680"/>
    <w:rsid w:val="14A127E5"/>
    <w:rsid w:val="15044A88"/>
    <w:rsid w:val="15150000"/>
    <w:rsid w:val="15354AC9"/>
    <w:rsid w:val="15584512"/>
    <w:rsid w:val="15596EC0"/>
    <w:rsid w:val="1604074F"/>
    <w:rsid w:val="16391602"/>
    <w:rsid w:val="164467AA"/>
    <w:rsid w:val="16767B4B"/>
    <w:rsid w:val="168A398A"/>
    <w:rsid w:val="16AB760A"/>
    <w:rsid w:val="16B36D4D"/>
    <w:rsid w:val="16E21E1B"/>
    <w:rsid w:val="16F220B5"/>
    <w:rsid w:val="16F577B6"/>
    <w:rsid w:val="16FD2644"/>
    <w:rsid w:val="1703454E"/>
    <w:rsid w:val="170A3E13"/>
    <w:rsid w:val="17206192"/>
    <w:rsid w:val="1732509D"/>
    <w:rsid w:val="173D4A10"/>
    <w:rsid w:val="17AF08A9"/>
    <w:rsid w:val="17D313A3"/>
    <w:rsid w:val="17DB7587"/>
    <w:rsid w:val="17E70043"/>
    <w:rsid w:val="17E715A6"/>
    <w:rsid w:val="17E91348"/>
    <w:rsid w:val="17F6065E"/>
    <w:rsid w:val="181E68F0"/>
    <w:rsid w:val="18292F6E"/>
    <w:rsid w:val="182D2D36"/>
    <w:rsid w:val="185A2660"/>
    <w:rsid w:val="18B60219"/>
    <w:rsid w:val="18D944D4"/>
    <w:rsid w:val="18DD7D48"/>
    <w:rsid w:val="18DF3E5F"/>
    <w:rsid w:val="191142D4"/>
    <w:rsid w:val="191F54D8"/>
    <w:rsid w:val="19215DCB"/>
    <w:rsid w:val="192D76F1"/>
    <w:rsid w:val="193A79F0"/>
    <w:rsid w:val="196D3896"/>
    <w:rsid w:val="19A50560"/>
    <w:rsid w:val="19BE5B9F"/>
    <w:rsid w:val="19D4203E"/>
    <w:rsid w:val="19DC4FFB"/>
    <w:rsid w:val="19E908B9"/>
    <w:rsid w:val="1A1D12E8"/>
    <w:rsid w:val="1A29778A"/>
    <w:rsid w:val="1A445924"/>
    <w:rsid w:val="1A491DAC"/>
    <w:rsid w:val="1A8F0322"/>
    <w:rsid w:val="1AAF48E3"/>
    <w:rsid w:val="1AB004BB"/>
    <w:rsid w:val="1AD718DD"/>
    <w:rsid w:val="1B171500"/>
    <w:rsid w:val="1B666D00"/>
    <w:rsid w:val="1BC85AA0"/>
    <w:rsid w:val="1BE74C69"/>
    <w:rsid w:val="1C2E0BDD"/>
    <w:rsid w:val="1C392F29"/>
    <w:rsid w:val="1C6F2DB6"/>
    <w:rsid w:val="1C7F1A3E"/>
    <w:rsid w:val="1C951971"/>
    <w:rsid w:val="1CB73CA2"/>
    <w:rsid w:val="1CDC65CA"/>
    <w:rsid w:val="1D86477C"/>
    <w:rsid w:val="1D961E9B"/>
    <w:rsid w:val="1DBA3E18"/>
    <w:rsid w:val="1DC24809"/>
    <w:rsid w:val="1DF63B37"/>
    <w:rsid w:val="1E0E375C"/>
    <w:rsid w:val="1E2C078D"/>
    <w:rsid w:val="1E414EAF"/>
    <w:rsid w:val="1E597ACC"/>
    <w:rsid w:val="1E5D6D5E"/>
    <w:rsid w:val="1EBE5AFE"/>
    <w:rsid w:val="1EF67E9C"/>
    <w:rsid w:val="1F163F8E"/>
    <w:rsid w:val="1F262711"/>
    <w:rsid w:val="1F4958D9"/>
    <w:rsid w:val="1F5F1E04"/>
    <w:rsid w:val="1F804A7B"/>
    <w:rsid w:val="1FA35708"/>
    <w:rsid w:val="1FB270BE"/>
    <w:rsid w:val="1FDB71CF"/>
    <w:rsid w:val="20083DE3"/>
    <w:rsid w:val="20174E36"/>
    <w:rsid w:val="203329FA"/>
    <w:rsid w:val="20492143"/>
    <w:rsid w:val="204C6209"/>
    <w:rsid w:val="205A1400"/>
    <w:rsid w:val="206617A0"/>
    <w:rsid w:val="206F170E"/>
    <w:rsid w:val="20C37F41"/>
    <w:rsid w:val="20C50451"/>
    <w:rsid w:val="20F879A7"/>
    <w:rsid w:val="21060EBB"/>
    <w:rsid w:val="212250B6"/>
    <w:rsid w:val="212579E2"/>
    <w:rsid w:val="21510752"/>
    <w:rsid w:val="21540FBA"/>
    <w:rsid w:val="21637056"/>
    <w:rsid w:val="21783778"/>
    <w:rsid w:val="21D44D8B"/>
    <w:rsid w:val="22133977"/>
    <w:rsid w:val="221A5500"/>
    <w:rsid w:val="222C0C9D"/>
    <w:rsid w:val="223C5D9A"/>
    <w:rsid w:val="226136F6"/>
    <w:rsid w:val="22850432"/>
    <w:rsid w:val="228A48BA"/>
    <w:rsid w:val="22E31B89"/>
    <w:rsid w:val="22FE2214"/>
    <w:rsid w:val="232F3534"/>
    <w:rsid w:val="234341C3"/>
    <w:rsid w:val="2348772B"/>
    <w:rsid w:val="23B36272"/>
    <w:rsid w:val="23DB2F62"/>
    <w:rsid w:val="23ED4783"/>
    <w:rsid w:val="23EE1461"/>
    <w:rsid w:val="24335B6F"/>
    <w:rsid w:val="25147B41"/>
    <w:rsid w:val="251A1C01"/>
    <w:rsid w:val="25544D4D"/>
    <w:rsid w:val="25630779"/>
    <w:rsid w:val="25BA7F75"/>
    <w:rsid w:val="25F433C6"/>
    <w:rsid w:val="26110984"/>
    <w:rsid w:val="264158CF"/>
    <w:rsid w:val="265213ED"/>
    <w:rsid w:val="267E1DB2"/>
    <w:rsid w:val="268843E2"/>
    <w:rsid w:val="26C329A6"/>
    <w:rsid w:val="26D37F62"/>
    <w:rsid w:val="278773E2"/>
    <w:rsid w:val="27C512CF"/>
    <w:rsid w:val="27DD4613"/>
    <w:rsid w:val="27E53D82"/>
    <w:rsid w:val="28405395"/>
    <w:rsid w:val="28BC293D"/>
    <w:rsid w:val="28F76BC7"/>
    <w:rsid w:val="29095BA3"/>
    <w:rsid w:val="292F7568"/>
    <w:rsid w:val="297A1D75"/>
    <w:rsid w:val="298D4EAD"/>
    <w:rsid w:val="299172C0"/>
    <w:rsid w:val="29B438CA"/>
    <w:rsid w:val="29BF1089"/>
    <w:rsid w:val="29DB2BB8"/>
    <w:rsid w:val="2A017DDD"/>
    <w:rsid w:val="2A120B13"/>
    <w:rsid w:val="2A842B20"/>
    <w:rsid w:val="2AA76E09"/>
    <w:rsid w:val="2AE00267"/>
    <w:rsid w:val="2B5E1E51"/>
    <w:rsid w:val="2B5E7D49"/>
    <w:rsid w:val="2B700A50"/>
    <w:rsid w:val="2B7661DC"/>
    <w:rsid w:val="2B890B6B"/>
    <w:rsid w:val="2BC52685"/>
    <w:rsid w:val="2BF46AAA"/>
    <w:rsid w:val="2C0D35C5"/>
    <w:rsid w:val="2C110389"/>
    <w:rsid w:val="2C113E5C"/>
    <w:rsid w:val="2C372A17"/>
    <w:rsid w:val="2C7135D7"/>
    <w:rsid w:val="2C8C7F23"/>
    <w:rsid w:val="2CCF1DA4"/>
    <w:rsid w:val="2CD07712"/>
    <w:rsid w:val="2CF15497"/>
    <w:rsid w:val="2CFA3AD0"/>
    <w:rsid w:val="2D324A76"/>
    <w:rsid w:val="2D3C1AE0"/>
    <w:rsid w:val="2D406ACD"/>
    <w:rsid w:val="2D4743E3"/>
    <w:rsid w:val="2D541EEA"/>
    <w:rsid w:val="2DA54273"/>
    <w:rsid w:val="2DBA5111"/>
    <w:rsid w:val="2DCC0144"/>
    <w:rsid w:val="2E093F97"/>
    <w:rsid w:val="2E0F5379"/>
    <w:rsid w:val="2E286892"/>
    <w:rsid w:val="2E475FFA"/>
    <w:rsid w:val="2E627EA9"/>
    <w:rsid w:val="2E922BF6"/>
    <w:rsid w:val="2EF54743"/>
    <w:rsid w:val="2F4F7D71"/>
    <w:rsid w:val="2F5B483E"/>
    <w:rsid w:val="2FCF25FE"/>
    <w:rsid w:val="305B7C64"/>
    <w:rsid w:val="309E19D2"/>
    <w:rsid w:val="30B519B1"/>
    <w:rsid w:val="30E65649"/>
    <w:rsid w:val="31470E79"/>
    <w:rsid w:val="31534978"/>
    <w:rsid w:val="315658FD"/>
    <w:rsid w:val="316C6324"/>
    <w:rsid w:val="31BB30A3"/>
    <w:rsid w:val="31BB627A"/>
    <w:rsid w:val="31C32B6D"/>
    <w:rsid w:val="320831A2"/>
    <w:rsid w:val="326D5E9B"/>
    <w:rsid w:val="329B0193"/>
    <w:rsid w:val="32EA7018"/>
    <w:rsid w:val="32EB2DE0"/>
    <w:rsid w:val="33A928CE"/>
    <w:rsid w:val="33C2127A"/>
    <w:rsid w:val="33E24302"/>
    <w:rsid w:val="33E46427"/>
    <w:rsid w:val="33E936B8"/>
    <w:rsid w:val="33EB6BBB"/>
    <w:rsid w:val="33FF10DF"/>
    <w:rsid w:val="340A7D77"/>
    <w:rsid w:val="343137A3"/>
    <w:rsid w:val="34467E78"/>
    <w:rsid w:val="348A3241"/>
    <w:rsid w:val="34A075E3"/>
    <w:rsid w:val="34A672EE"/>
    <w:rsid w:val="34D06C8E"/>
    <w:rsid w:val="34EB51C8"/>
    <w:rsid w:val="34ED54E4"/>
    <w:rsid w:val="35397B62"/>
    <w:rsid w:val="355A1216"/>
    <w:rsid w:val="35772B55"/>
    <w:rsid w:val="357F17EA"/>
    <w:rsid w:val="35940701"/>
    <w:rsid w:val="35C34243"/>
    <w:rsid w:val="35E96681"/>
    <w:rsid w:val="35F13A8D"/>
    <w:rsid w:val="36466EE9"/>
    <w:rsid w:val="36910FDB"/>
    <w:rsid w:val="36A2002D"/>
    <w:rsid w:val="36CB3D61"/>
    <w:rsid w:val="36D24400"/>
    <w:rsid w:val="36D76309"/>
    <w:rsid w:val="374E17CB"/>
    <w:rsid w:val="376A7A76"/>
    <w:rsid w:val="378410FF"/>
    <w:rsid w:val="378B15E4"/>
    <w:rsid w:val="37C13D08"/>
    <w:rsid w:val="388F19DD"/>
    <w:rsid w:val="38D45B95"/>
    <w:rsid w:val="38E96108"/>
    <w:rsid w:val="39057817"/>
    <w:rsid w:val="39291FD6"/>
    <w:rsid w:val="39674039"/>
    <w:rsid w:val="39682ADB"/>
    <w:rsid w:val="39900A80"/>
    <w:rsid w:val="39A43E9E"/>
    <w:rsid w:val="39B131B3"/>
    <w:rsid w:val="39B905C0"/>
    <w:rsid w:val="39D236E8"/>
    <w:rsid w:val="39D3116A"/>
    <w:rsid w:val="39F529A3"/>
    <w:rsid w:val="39FB232E"/>
    <w:rsid w:val="3A2B507B"/>
    <w:rsid w:val="3A2D057F"/>
    <w:rsid w:val="3A4E1F00"/>
    <w:rsid w:val="3A6D1800"/>
    <w:rsid w:val="3AB31C18"/>
    <w:rsid w:val="3ADD4E9F"/>
    <w:rsid w:val="3AF544EE"/>
    <w:rsid w:val="3B0354A8"/>
    <w:rsid w:val="3B0E69A9"/>
    <w:rsid w:val="3B7D6FA7"/>
    <w:rsid w:val="3BC3754F"/>
    <w:rsid w:val="3BC5477C"/>
    <w:rsid w:val="3BE16CCB"/>
    <w:rsid w:val="3BE462E3"/>
    <w:rsid w:val="3C2B323D"/>
    <w:rsid w:val="3CC06339"/>
    <w:rsid w:val="3CFB7418"/>
    <w:rsid w:val="3D3675FD"/>
    <w:rsid w:val="3D3921C5"/>
    <w:rsid w:val="3D502048"/>
    <w:rsid w:val="3D53112B"/>
    <w:rsid w:val="3D754D6F"/>
    <w:rsid w:val="3D796B30"/>
    <w:rsid w:val="3D930C99"/>
    <w:rsid w:val="3D9B7CBE"/>
    <w:rsid w:val="3DAA1B3A"/>
    <w:rsid w:val="3DC65BE7"/>
    <w:rsid w:val="3E1958A3"/>
    <w:rsid w:val="3E2D0A8E"/>
    <w:rsid w:val="3E5654D6"/>
    <w:rsid w:val="3EF25354"/>
    <w:rsid w:val="3F1A598D"/>
    <w:rsid w:val="3F2E7738"/>
    <w:rsid w:val="3F4039DA"/>
    <w:rsid w:val="3F476FDD"/>
    <w:rsid w:val="3F494FE9"/>
    <w:rsid w:val="3F8B6AED"/>
    <w:rsid w:val="3F912AF7"/>
    <w:rsid w:val="3FA163F2"/>
    <w:rsid w:val="3FC55E64"/>
    <w:rsid w:val="3FF06135"/>
    <w:rsid w:val="402356C6"/>
    <w:rsid w:val="403147CD"/>
    <w:rsid w:val="40516596"/>
    <w:rsid w:val="405E4CFE"/>
    <w:rsid w:val="406861BB"/>
    <w:rsid w:val="410C3445"/>
    <w:rsid w:val="412F645D"/>
    <w:rsid w:val="414D3EAF"/>
    <w:rsid w:val="41802F1C"/>
    <w:rsid w:val="41C837F8"/>
    <w:rsid w:val="41DF38DF"/>
    <w:rsid w:val="41FD4053"/>
    <w:rsid w:val="424A08CF"/>
    <w:rsid w:val="425D61F8"/>
    <w:rsid w:val="427A17FC"/>
    <w:rsid w:val="428B1338"/>
    <w:rsid w:val="42D74CF4"/>
    <w:rsid w:val="42E7627F"/>
    <w:rsid w:val="42E94F55"/>
    <w:rsid w:val="42F176D0"/>
    <w:rsid w:val="433462CE"/>
    <w:rsid w:val="433C5A00"/>
    <w:rsid w:val="4359650D"/>
    <w:rsid w:val="43CD51C7"/>
    <w:rsid w:val="440D3A32"/>
    <w:rsid w:val="4430746A"/>
    <w:rsid w:val="444948C4"/>
    <w:rsid w:val="4450106D"/>
    <w:rsid w:val="445A3B32"/>
    <w:rsid w:val="446E05D4"/>
    <w:rsid w:val="44DB61FA"/>
    <w:rsid w:val="4510235C"/>
    <w:rsid w:val="45163128"/>
    <w:rsid w:val="455E2608"/>
    <w:rsid w:val="45A5284F"/>
    <w:rsid w:val="45D2476C"/>
    <w:rsid w:val="45FD6761"/>
    <w:rsid w:val="464D55E6"/>
    <w:rsid w:val="46534F71"/>
    <w:rsid w:val="465B311A"/>
    <w:rsid w:val="466D2743"/>
    <w:rsid w:val="467609A9"/>
    <w:rsid w:val="46B77214"/>
    <w:rsid w:val="46D467C4"/>
    <w:rsid w:val="46EE736E"/>
    <w:rsid w:val="46FD0882"/>
    <w:rsid w:val="472C4C55"/>
    <w:rsid w:val="474422FB"/>
    <w:rsid w:val="474544FA"/>
    <w:rsid w:val="4757351A"/>
    <w:rsid w:val="478D4CB5"/>
    <w:rsid w:val="47974304"/>
    <w:rsid w:val="47B44217"/>
    <w:rsid w:val="47BE198A"/>
    <w:rsid w:val="47F26C76"/>
    <w:rsid w:val="480A2FBE"/>
    <w:rsid w:val="48185B57"/>
    <w:rsid w:val="48311AAD"/>
    <w:rsid w:val="487C587B"/>
    <w:rsid w:val="489B28AD"/>
    <w:rsid w:val="49165266"/>
    <w:rsid w:val="49244D8F"/>
    <w:rsid w:val="49547ADD"/>
    <w:rsid w:val="49792302"/>
    <w:rsid w:val="49AB4C68"/>
    <w:rsid w:val="49D01002"/>
    <w:rsid w:val="49D074BD"/>
    <w:rsid w:val="49F308E0"/>
    <w:rsid w:val="4A17781B"/>
    <w:rsid w:val="4A2645B2"/>
    <w:rsid w:val="4A5C030F"/>
    <w:rsid w:val="4AA25200"/>
    <w:rsid w:val="4AAB008E"/>
    <w:rsid w:val="4AD743D6"/>
    <w:rsid w:val="4B2D0403"/>
    <w:rsid w:val="4B4F7C2B"/>
    <w:rsid w:val="4B5F55B3"/>
    <w:rsid w:val="4C4E332F"/>
    <w:rsid w:val="4C6F31F2"/>
    <w:rsid w:val="4CAF785F"/>
    <w:rsid w:val="4CD94E20"/>
    <w:rsid w:val="4D2D4582"/>
    <w:rsid w:val="4D470430"/>
    <w:rsid w:val="4D5634F0"/>
    <w:rsid w:val="4D5D1F40"/>
    <w:rsid w:val="4D804334"/>
    <w:rsid w:val="4DB95793"/>
    <w:rsid w:val="4DBF5FB2"/>
    <w:rsid w:val="4DDF0F63"/>
    <w:rsid w:val="4E0E506F"/>
    <w:rsid w:val="4E4B256C"/>
    <w:rsid w:val="4E501D2A"/>
    <w:rsid w:val="4E5F3554"/>
    <w:rsid w:val="4E884B66"/>
    <w:rsid w:val="4E8F0CF5"/>
    <w:rsid w:val="4EB621B3"/>
    <w:rsid w:val="4EF26794"/>
    <w:rsid w:val="4EFB2AF1"/>
    <w:rsid w:val="4F1637C8"/>
    <w:rsid w:val="4F32757E"/>
    <w:rsid w:val="4F454F19"/>
    <w:rsid w:val="4F634337"/>
    <w:rsid w:val="4F923C1E"/>
    <w:rsid w:val="4FAE367D"/>
    <w:rsid w:val="4FB6096D"/>
    <w:rsid w:val="4FBB03DB"/>
    <w:rsid w:val="50120DEA"/>
    <w:rsid w:val="50146E75"/>
    <w:rsid w:val="503F6BEE"/>
    <w:rsid w:val="50685370"/>
    <w:rsid w:val="50BB5D80"/>
    <w:rsid w:val="50C05A8B"/>
    <w:rsid w:val="51186119"/>
    <w:rsid w:val="51291058"/>
    <w:rsid w:val="51322546"/>
    <w:rsid w:val="51465964"/>
    <w:rsid w:val="5168719D"/>
    <w:rsid w:val="51827D47"/>
    <w:rsid w:val="51AA7C07"/>
    <w:rsid w:val="51D442CE"/>
    <w:rsid w:val="51E00BA5"/>
    <w:rsid w:val="52163CAA"/>
    <w:rsid w:val="521C7F46"/>
    <w:rsid w:val="52430096"/>
    <w:rsid w:val="52553923"/>
    <w:rsid w:val="525B32AE"/>
    <w:rsid w:val="52686D40"/>
    <w:rsid w:val="52995311"/>
    <w:rsid w:val="5335235D"/>
    <w:rsid w:val="5338218F"/>
    <w:rsid w:val="536611E1"/>
    <w:rsid w:val="539C5E38"/>
    <w:rsid w:val="53D6159A"/>
    <w:rsid w:val="53E362C6"/>
    <w:rsid w:val="545B07F5"/>
    <w:rsid w:val="545E1B1E"/>
    <w:rsid w:val="54766E20"/>
    <w:rsid w:val="54DB67C4"/>
    <w:rsid w:val="54DD1CC8"/>
    <w:rsid w:val="551256A6"/>
    <w:rsid w:val="551A792E"/>
    <w:rsid w:val="5536145D"/>
    <w:rsid w:val="556D4434"/>
    <w:rsid w:val="559C59C0"/>
    <w:rsid w:val="55AB141B"/>
    <w:rsid w:val="55AB5B98"/>
    <w:rsid w:val="55BE7B1F"/>
    <w:rsid w:val="55C022BA"/>
    <w:rsid w:val="55C909CB"/>
    <w:rsid w:val="55CC1950"/>
    <w:rsid w:val="55E27920"/>
    <w:rsid w:val="563F7711"/>
    <w:rsid w:val="565B37BE"/>
    <w:rsid w:val="56713842"/>
    <w:rsid w:val="569B1267"/>
    <w:rsid w:val="56AC22C3"/>
    <w:rsid w:val="56BE7FDF"/>
    <w:rsid w:val="56C82AED"/>
    <w:rsid w:val="56FE3FDE"/>
    <w:rsid w:val="571B11EA"/>
    <w:rsid w:val="57584748"/>
    <w:rsid w:val="576747DC"/>
    <w:rsid w:val="577545BB"/>
    <w:rsid w:val="57AC65E2"/>
    <w:rsid w:val="57AD4F45"/>
    <w:rsid w:val="57B37B91"/>
    <w:rsid w:val="57DE5EB8"/>
    <w:rsid w:val="57FB5468"/>
    <w:rsid w:val="57FE63ED"/>
    <w:rsid w:val="581B7F1B"/>
    <w:rsid w:val="58A60E39"/>
    <w:rsid w:val="58D21C48"/>
    <w:rsid w:val="58DB6CD4"/>
    <w:rsid w:val="58DE7C59"/>
    <w:rsid w:val="58E9186D"/>
    <w:rsid w:val="59284BD5"/>
    <w:rsid w:val="593167FB"/>
    <w:rsid w:val="595348C0"/>
    <w:rsid w:val="59833FEA"/>
    <w:rsid w:val="59B5223B"/>
    <w:rsid w:val="59FD705D"/>
    <w:rsid w:val="5A3E219F"/>
    <w:rsid w:val="5A432DA3"/>
    <w:rsid w:val="5A81068A"/>
    <w:rsid w:val="5A8A2BB3"/>
    <w:rsid w:val="5AA63FAD"/>
    <w:rsid w:val="5B214990"/>
    <w:rsid w:val="5B374935"/>
    <w:rsid w:val="5B5E47F5"/>
    <w:rsid w:val="5B9B0DD6"/>
    <w:rsid w:val="5BFE3079"/>
    <w:rsid w:val="5C2515A2"/>
    <w:rsid w:val="5C372A61"/>
    <w:rsid w:val="5C402FEC"/>
    <w:rsid w:val="5C650DC3"/>
    <w:rsid w:val="5C8D0D1E"/>
    <w:rsid w:val="5C951EDD"/>
    <w:rsid w:val="5CB163A0"/>
    <w:rsid w:val="5CD37BDA"/>
    <w:rsid w:val="5CF15194"/>
    <w:rsid w:val="5CFB5748"/>
    <w:rsid w:val="5D0C1038"/>
    <w:rsid w:val="5D406F09"/>
    <w:rsid w:val="5D762C66"/>
    <w:rsid w:val="5D9D04F4"/>
    <w:rsid w:val="5DDA56EA"/>
    <w:rsid w:val="5DDB040C"/>
    <w:rsid w:val="5E1A7EF1"/>
    <w:rsid w:val="5E782489"/>
    <w:rsid w:val="5ED460FD"/>
    <w:rsid w:val="5EE475B9"/>
    <w:rsid w:val="5F2922AC"/>
    <w:rsid w:val="5F517BED"/>
    <w:rsid w:val="5F6D1C84"/>
    <w:rsid w:val="5FA7097C"/>
    <w:rsid w:val="5FC63157"/>
    <w:rsid w:val="5FD04197"/>
    <w:rsid w:val="600D76AB"/>
    <w:rsid w:val="6012002C"/>
    <w:rsid w:val="602C737D"/>
    <w:rsid w:val="607A3B45"/>
    <w:rsid w:val="60837066"/>
    <w:rsid w:val="612C0778"/>
    <w:rsid w:val="61414E9A"/>
    <w:rsid w:val="614800A8"/>
    <w:rsid w:val="61637D75"/>
    <w:rsid w:val="619F2CB5"/>
    <w:rsid w:val="61E60EAB"/>
    <w:rsid w:val="62246792"/>
    <w:rsid w:val="626A329A"/>
    <w:rsid w:val="628E03BF"/>
    <w:rsid w:val="634642EB"/>
    <w:rsid w:val="635727F7"/>
    <w:rsid w:val="635C20B1"/>
    <w:rsid w:val="63884D08"/>
    <w:rsid w:val="639E361F"/>
    <w:rsid w:val="63D21927"/>
    <w:rsid w:val="63F50C0B"/>
    <w:rsid w:val="640E2396"/>
    <w:rsid w:val="641A7B46"/>
    <w:rsid w:val="64451C8F"/>
    <w:rsid w:val="644707AF"/>
    <w:rsid w:val="644D490C"/>
    <w:rsid w:val="646666C9"/>
    <w:rsid w:val="64A66A83"/>
    <w:rsid w:val="64AB2CB8"/>
    <w:rsid w:val="64E0620E"/>
    <w:rsid w:val="65171FE8"/>
    <w:rsid w:val="65377CDE"/>
    <w:rsid w:val="657171FE"/>
    <w:rsid w:val="65891022"/>
    <w:rsid w:val="65E43CBA"/>
    <w:rsid w:val="65F364D3"/>
    <w:rsid w:val="65FC668C"/>
    <w:rsid w:val="664839DE"/>
    <w:rsid w:val="66C37AA5"/>
    <w:rsid w:val="66DF3BDF"/>
    <w:rsid w:val="66F332D5"/>
    <w:rsid w:val="6709601B"/>
    <w:rsid w:val="670B371C"/>
    <w:rsid w:val="673A0C8B"/>
    <w:rsid w:val="674001A7"/>
    <w:rsid w:val="674705CB"/>
    <w:rsid w:val="67514DA2"/>
    <w:rsid w:val="67617776"/>
    <w:rsid w:val="677478C8"/>
    <w:rsid w:val="679113F7"/>
    <w:rsid w:val="67B12224"/>
    <w:rsid w:val="67CE6C19"/>
    <w:rsid w:val="67ED628D"/>
    <w:rsid w:val="67F4369A"/>
    <w:rsid w:val="67FA55A3"/>
    <w:rsid w:val="67FB68A8"/>
    <w:rsid w:val="681151C8"/>
    <w:rsid w:val="68665F57"/>
    <w:rsid w:val="687E7D7B"/>
    <w:rsid w:val="68B81E73"/>
    <w:rsid w:val="69274D10"/>
    <w:rsid w:val="693130A1"/>
    <w:rsid w:val="69593B3E"/>
    <w:rsid w:val="69790F04"/>
    <w:rsid w:val="69D07728"/>
    <w:rsid w:val="69FF6F72"/>
    <w:rsid w:val="6A0E07C3"/>
    <w:rsid w:val="6A906493"/>
    <w:rsid w:val="6AF1171A"/>
    <w:rsid w:val="6AF44007"/>
    <w:rsid w:val="6AFF4C5A"/>
    <w:rsid w:val="6B090729"/>
    <w:rsid w:val="6B0F11E2"/>
    <w:rsid w:val="6B9C570B"/>
    <w:rsid w:val="6BF07722"/>
    <w:rsid w:val="6C0210B1"/>
    <w:rsid w:val="6C38059F"/>
    <w:rsid w:val="6C465F32"/>
    <w:rsid w:val="6C496EB7"/>
    <w:rsid w:val="6C8947F6"/>
    <w:rsid w:val="6C8A24CB"/>
    <w:rsid w:val="6CF3643A"/>
    <w:rsid w:val="6D9632D6"/>
    <w:rsid w:val="6DCA3B30"/>
    <w:rsid w:val="6DED1766"/>
    <w:rsid w:val="6DF139EF"/>
    <w:rsid w:val="6E3C2B6A"/>
    <w:rsid w:val="6E536A12"/>
    <w:rsid w:val="6E6E7F2A"/>
    <w:rsid w:val="6E6F5E21"/>
    <w:rsid w:val="6E725242"/>
    <w:rsid w:val="6E8B6CDF"/>
    <w:rsid w:val="6E965EC4"/>
    <w:rsid w:val="6E9C3E88"/>
    <w:rsid w:val="6EAF50A7"/>
    <w:rsid w:val="6EBC4D97"/>
    <w:rsid w:val="6EC61449"/>
    <w:rsid w:val="6ED177DA"/>
    <w:rsid w:val="6F410D93"/>
    <w:rsid w:val="6F4A74A4"/>
    <w:rsid w:val="6F4C3AA2"/>
    <w:rsid w:val="6F6D301A"/>
    <w:rsid w:val="6F9A4CB7"/>
    <w:rsid w:val="6FD04AFC"/>
    <w:rsid w:val="6FD47408"/>
    <w:rsid w:val="6FD8258B"/>
    <w:rsid w:val="6FDD4494"/>
    <w:rsid w:val="6FEA15AC"/>
    <w:rsid w:val="6FF30BB6"/>
    <w:rsid w:val="700233CF"/>
    <w:rsid w:val="700529B7"/>
    <w:rsid w:val="70065659"/>
    <w:rsid w:val="70113072"/>
    <w:rsid w:val="70173375"/>
    <w:rsid w:val="70335223"/>
    <w:rsid w:val="70676382"/>
    <w:rsid w:val="709848AF"/>
    <w:rsid w:val="70C54D3C"/>
    <w:rsid w:val="70FA71EB"/>
    <w:rsid w:val="71325EF7"/>
    <w:rsid w:val="71971267"/>
    <w:rsid w:val="71A74D85"/>
    <w:rsid w:val="71B43E9D"/>
    <w:rsid w:val="71C80B3D"/>
    <w:rsid w:val="71CD585B"/>
    <w:rsid w:val="71D46267"/>
    <w:rsid w:val="71F21D23"/>
    <w:rsid w:val="72401A80"/>
    <w:rsid w:val="7251199A"/>
    <w:rsid w:val="7254291F"/>
    <w:rsid w:val="729E5448"/>
    <w:rsid w:val="72A97E2B"/>
    <w:rsid w:val="72C46456"/>
    <w:rsid w:val="72CC5B95"/>
    <w:rsid w:val="73134DB4"/>
    <w:rsid w:val="73276794"/>
    <w:rsid w:val="735B077A"/>
    <w:rsid w:val="73763CFB"/>
    <w:rsid w:val="737F6B89"/>
    <w:rsid w:val="739003CE"/>
    <w:rsid w:val="739A0A38"/>
    <w:rsid w:val="73C31BFC"/>
    <w:rsid w:val="73CD470A"/>
    <w:rsid w:val="73D8631E"/>
    <w:rsid w:val="73F80DD1"/>
    <w:rsid w:val="7457466E"/>
    <w:rsid w:val="74694588"/>
    <w:rsid w:val="74C04F97"/>
    <w:rsid w:val="74D12A3C"/>
    <w:rsid w:val="74E77578"/>
    <w:rsid w:val="74FA76FB"/>
    <w:rsid w:val="75031328"/>
    <w:rsid w:val="750D5096"/>
    <w:rsid w:val="756F76B9"/>
    <w:rsid w:val="75732515"/>
    <w:rsid w:val="7585185D"/>
    <w:rsid w:val="75E91581"/>
    <w:rsid w:val="75E95CFE"/>
    <w:rsid w:val="764143DD"/>
    <w:rsid w:val="77673652"/>
    <w:rsid w:val="77740D08"/>
    <w:rsid w:val="7776420B"/>
    <w:rsid w:val="778D7463"/>
    <w:rsid w:val="77C63EBA"/>
    <w:rsid w:val="77D50A29"/>
    <w:rsid w:val="77E138BA"/>
    <w:rsid w:val="77E757C4"/>
    <w:rsid w:val="78131B3E"/>
    <w:rsid w:val="781E371F"/>
    <w:rsid w:val="784A5BBA"/>
    <w:rsid w:val="790E68AB"/>
    <w:rsid w:val="794A1DAD"/>
    <w:rsid w:val="79990A0D"/>
    <w:rsid w:val="799C1EED"/>
    <w:rsid w:val="79A74BFD"/>
    <w:rsid w:val="79AE5130"/>
    <w:rsid w:val="79D704F2"/>
    <w:rsid w:val="79DB1D76"/>
    <w:rsid w:val="79E7658E"/>
    <w:rsid w:val="79F57AA2"/>
    <w:rsid w:val="79F964A8"/>
    <w:rsid w:val="7A084FD8"/>
    <w:rsid w:val="7A0F49FB"/>
    <w:rsid w:val="7A385094"/>
    <w:rsid w:val="7A523314"/>
    <w:rsid w:val="7A610456"/>
    <w:rsid w:val="7A6300D6"/>
    <w:rsid w:val="7A903A56"/>
    <w:rsid w:val="7AAD2AD4"/>
    <w:rsid w:val="7AB46E9F"/>
    <w:rsid w:val="7AC9440C"/>
    <w:rsid w:val="7AEB680E"/>
    <w:rsid w:val="7B186900"/>
    <w:rsid w:val="7B3B2338"/>
    <w:rsid w:val="7B406A22"/>
    <w:rsid w:val="7B907D66"/>
    <w:rsid w:val="7BA051AE"/>
    <w:rsid w:val="7BCD512A"/>
    <w:rsid w:val="7BF42DEB"/>
    <w:rsid w:val="7C0F7FDD"/>
    <w:rsid w:val="7C154545"/>
    <w:rsid w:val="7C1D135B"/>
    <w:rsid w:val="7C245E98"/>
    <w:rsid w:val="7CA4518D"/>
    <w:rsid w:val="7CC940C8"/>
    <w:rsid w:val="7D1379BF"/>
    <w:rsid w:val="7D414200"/>
    <w:rsid w:val="7D474996"/>
    <w:rsid w:val="7D5848F7"/>
    <w:rsid w:val="7D7265C6"/>
    <w:rsid w:val="7D8E683A"/>
    <w:rsid w:val="7DAC7542"/>
    <w:rsid w:val="7DB24046"/>
    <w:rsid w:val="7DC62CE6"/>
    <w:rsid w:val="7DCE3976"/>
    <w:rsid w:val="7DD86484"/>
    <w:rsid w:val="7DE71163"/>
    <w:rsid w:val="7DF30332"/>
    <w:rsid w:val="7E36070D"/>
    <w:rsid w:val="7E7B17D5"/>
    <w:rsid w:val="7E9633BF"/>
    <w:rsid w:val="7EFE18DA"/>
    <w:rsid w:val="7F5A30FD"/>
    <w:rsid w:val="7F64728F"/>
    <w:rsid w:val="7F751728"/>
    <w:rsid w:val="7F7965CA"/>
    <w:rsid w:val="7FDC23D1"/>
    <w:rsid w:val="7FE66564"/>
    <w:rsid w:val="7FEF6E7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2">
    <w:name w:val="Hyperlink"/>
    <w:qFormat/>
    <w:uiPriority w:val="0"/>
    <w:rPr>
      <w:color w:val="0000FF"/>
      <w:u w:val="single"/>
    </w:rPr>
  </w:style>
  <w:style w:type="character" w:styleId="13">
    <w:name w:val="annotation reference"/>
    <w:unhideWhenUsed/>
    <w:qFormat/>
    <w:uiPriority w:val="0"/>
    <w:rPr>
      <w:sz w:val="21"/>
      <w:szCs w:val="21"/>
    </w:r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17</Pages>
  <Words>2676</Words>
  <Characters>15254</Characters>
  <Lines>127</Lines>
  <Paragraphs>35</Paragraphs>
  <TotalTime>5</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user</cp:lastModifiedBy>
  <dcterms:modified xsi:type="dcterms:W3CDTF">2025-02-24T08:13:05Z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25EA6838CE724641A4167ABFADBCA314</vt:lpwstr>
  </property>
</Properties>
</file>