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232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0.70</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31"/>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72242E"/>
    <w:rsid w:val="17AB24D1"/>
    <w:rsid w:val="17AF08A9"/>
    <w:rsid w:val="17D313A3"/>
    <w:rsid w:val="17DB7587"/>
    <w:rsid w:val="17E70043"/>
    <w:rsid w:val="17E91348"/>
    <w:rsid w:val="17F6065E"/>
    <w:rsid w:val="181E68F0"/>
    <w:rsid w:val="18292F6E"/>
    <w:rsid w:val="182D2D36"/>
    <w:rsid w:val="18B60219"/>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C060E08"/>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9E361F"/>
    <w:rsid w:val="63A3130C"/>
    <w:rsid w:val="63A8233F"/>
    <w:rsid w:val="63C04115"/>
    <w:rsid w:val="63D0584D"/>
    <w:rsid w:val="63DC23E2"/>
    <w:rsid w:val="640E2396"/>
    <w:rsid w:val="641A7B46"/>
    <w:rsid w:val="64451C8F"/>
    <w:rsid w:val="646666C9"/>
    <w:rsid w:val="64A66A83"/>
    <w:rsid w:val="64C17E47"/>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A0A38"/>
    <w:rsid w:val="73C31BFC"/>
    <w:rsid w:val="73CD470A"/>
    <w:rsid w:val="73F80DD1"/>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2025-02-10T05:49:15Z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