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w:t>
      </w:r>
      <w:r>
        <w:rPr>
          <w:rFonts w:hint="eastAsia" w:ascii="宋体" w:hAnsi="宋体" w:cs="宋体"/>
          <w:b/>
          <w:color w:val="000000"/>
          <w:sz w:val="36"/>
          <w:lang w:eastAsia="zh-CN"/>
        </w:rPr>
        <w:t>智享六个月</w:t>
      </w:r>
      <w:r>
        <w:rPr>
          <w:rFonts w:hint="eastAsia" w:ascii="宋体" w:hAnsi="宋体" w:cs="宋体"/>
          <w:b/>
          <w:color w:val="000000"/>
          <w:sz w:val="36"/>
          <w:lang w:val="en-US" w:eastAsia="zh-CN"/>
        </w:rPr>
        <w:t>A款</w:t>
      </w:r>
      <w:r>
        <w:rPr>
          <w:rFonts w:hint="eastAsia" w:ascii="宋体" w:hAnsi="宋体" w:eastAsia="宋体" w:cs="宋体"/>
          <w:b/>
          <w:color w:val="000000"/>
          <w:sz w:val="36"/>
        </w:rPr>
        <w:t>净值型</w:t>
      </w:r>
      <w:r>
        <w:rPr>
          <w:rFonts w:hint="eastAsia" w:ascii="方正大标宋简体" w:hAnsi="宋体" w:eastAsia="方正大标宋简体"/>
          <w:b/>
          <w:color w:val="000000"/>
          <w:sz w:val="36"/>
          <w:szCs w:val="36"/>
        </w:rPr>
        <w:t>人民币</w:t>
      </w:r>
      <w:r>
        <w:rPr>
          <w:rFonts w:hint="eastAsia" w:ascii="宋体" w:hAnsi="宋体" w:eastAsia="宋体" w:cs="宋体"/>
          <w:b/>
          <w:color w:val="000000"/>
          <w:sz w:val="36"/>
        </w:rPr>
        <w:t>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常乐智享六个月A款</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260</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CLZXA6M260</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11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24</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02</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08</w:t>
            </w:r>
            <w:r>
              <w:rPr>
                <w:rFonts w:hint="eastAsia"/>
                <w:color w:val="000000"/>
                <w:sz w:val="22"/>
                <w:szCs w:val="22"/>
                <w:u w:val="none"/>
              </w:rPr>
              <w:t>月</w:t>
            </w:r>
            <w:r>
              <w:rPr>
                <w:rFonts w:hint="eastAsia"/>
                <w:color w:val="000000"/>
                <w:sz w:val="22"/>
                <w:szCs w:val="22"/>
                <w:u w:val="none"/>
                <w:lang w:val="en-US" w:eastAsia="zh-CN"/>
              </w:rPr>
              <w:t>26</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182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eastAsia="宋体" w:cs="宋体"/>
                <w:color w:val="000000"/>
                <w:kern w:val="0"/>
                <w:sz w:val="24"/>
                <w:szCs w:val="24"/>
                <w:u w:val="none"/>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u w:val="none"/>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0.15</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-1.15%）</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1.65%-2.65</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color w:val="000000"/>
                <w:highlight w:val="none"/>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rPr>
        <w:t>3</w:t>
      </w:r>
      <w:r>
        <w:rPr>
          <w:rFonts w:ascii="宋体" w:hAnsi="宋体" w:cs="宋体"/>
          <w:b/>
          <w:bCs/>
          <w:color w:val="000000"/>
          <w:kern w:val="0"/>
          <w:sz w:val="15"/>
          <w:szCs w:val="15"/>
        </w:rPr>
        <w:t>.</w:t>
      </w:r>
      <w:r>
        <w:rPr>
          <w:rFonts w:hint="eastAsia" w:ascii="宋体" w:hAnsi="宋体" w:cs="宋体"/>
          <w:b/>
          <w:bCs/>
          <w:color w:val="000000"/>
          <w:kern w:val="0"/>
          <w:sz w:val="15"/>
          <w:szCs w:val="15"/>
        </w:rPr>
        <w:t xml:space="preserve"> 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b/>
          <w:bCs/>
          <w:color w:val="000000"/>
          <w:kern w:val="0"/>
          <w:sz w:val="15"/>
          <w:szCs w:val="15"/>
        </w:rPr>
      </w:pPr>
      <w:r>
        <w:rPr>
          <w:rFonts w:hint="eastAsia" w:ascii="宋体" w:hAnsi="宋体" w:cs="宋体"/>
          <w:b w:val="0"/>
          <w:bCs w:val="0"/>
          <w:color w:val="000000"/>
          <w:kern w:val="0"/>
          <w:sz w:val="15"/>
          <w:szCs w:val="15"/>
          <w:lang w:val="en-US" w:eastAsia="zh-CN"/>
        </w:rPr>
        <w:t>5</w:t>
      </w:r>
      <w:r>
        <w:rPr>
          <w:rFonts w:hint="eastAsia" w:ascii="宋体" w:hAnsi="宋体" w:eastAsia="宋体" w:cs="宋体"/>
          <w:b w:val="0"/>
          <w:bCs w:val="0"/>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u w:val="single"/>
        </w:rPr>
        <w:t>六个月A款</w:t>
      </w:r>
      <w:r>
        <w:rPr>
          <w:rFonts w:hint="eastAsia" w:ascii="方正大标宋简体" w:hAnsi="宋体" w:eastAsia="方正大标宋简体"/>
          <w:b/>
          <w:color w:val="000000"/>
          <w:sz w:val="36"/>
        </w:rPr>
        <w:t>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u w:val="single"/>
              </w:rPr>
              <w:t>六个月A款</w:t>
            </w:r>
            <w:r>
              <w:rPr>
                <w:rFonts w:hint="eastAsia" w:eastAsia="楷体_GB2312"/>
                <w:color w:val="000000"/>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ascii="TimesNewRomanPSMT" w:hAnsi="Times New Roman" w:eastAsia="TimesNewRomanPSMT" w:cs="TimesNewRomanPSMT"/>
                <w:color w:val="000000"/>
                <w:kern w:val="0"/>
                <w:szCs w:val="21"/>
                <w:u w:val="single"/>
              </w:rPr>
            </w:pPr>
            <w:r>
              <w:rPr>
                <w:rFonts w:ascii="TimesNewRomanPSMT" w:hAnsi="Times New Roman" w:eastAsia="TimesNewRomanPSMT" w:cs="TimesNewRomanPSMT"/>
                <w:color w:val="000000"/>
                <w:kern w:val="0"/>
                <w:szCs w:val="21"/>
                <w:u w:val="single"/>
              </w:rPr>
              <w:t>C</w:t>
            </w:r>
            <w:r>
              <w:rPr>
                <w:rFonts w:hint="eastAsia" w:ascii="TimesNewRomanPSMT" w:hAnsi="Times New Roman" w:eastAsia="TimesNewRomanPSMT" w:cs="TimesNewRomanPSMT"/>
                <w:color w:val="000000"/>
                <w:kern w:val="0"/>
                <w:szCs w:val="21"/>
                <w:u w:val="single"/>
              </w:rPr>
              <w:t>1115421000005</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rPr>
              <w:t>A</w:t>
            </w:r>
            <w:r>
              <w:rPr>
                <w:rFonts w:eastAsia="楷体_GB2312"/>
                <w:color w:val="000000"/>
              </w:rPr>
              <w:t>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beforeLines="0" w:afterLines="0" w:line="360" w:lineRule="exact"/>
              <w:rPr>
                <w:rFonts w:ascii="宋体" w:hAnsi="宋体"/>
                <w:b/>
                <w:bCs/>
                <w:color w:val="000000"/>
                <w:sz w:val="18"/>
                <w:szCs w:val="18"/>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ascii="Times New Roman" w:hAnsi="Times New Roman" w:eastAsia="楷体_GB2312"/>
                <w:b/>
                <w:bCs/>
                <w:color w:val="000000"/>
                <w:highlight w:val="cyan"/>
              </w:rPr>
            </w:pPr>
            <w:r>
              <w:rPr>
                <w:rFonts w:ascii="Times New Roman" w:hAnsi="Times New Roman" w:eastAsia="楷体_GB2312"/>
                <w:b/>
                <w:bCs/>
                <w:color w:val="000000"/>
              </w:rPr>
              <w:t>业绩比较基准的说明：</w:t>
            </w:r>
            <w:r>
              <w:rPr>
                <w:rFonts w:hint="eastAsia" w:ascii="楷体" w:hAnsi="楷体" w:eastAsia="楷体" w:cs="楷体"/>
                <w:color w:val="000000"/>
                <w:highlight w:val="none"/>
                <w:lang w:eastAsia="zh-CN"/>
              </w:rPr>
              <w:t>本产品拟投资资产的比例</w:t>
            </w:r>
            <w:r>
              <w:rPr>
                <w:rFonts w:hint="eastAsia" w:ascii="楷体_GB2312" w:hAnsi="Times New Roman" w:eastAsia="楷体_GB2312"/>
                <w:color w:val="000000"/>
                <w:highlight w:val="none"/>
              </w:rPr>
              <w:t>为存款、货币基金等现金类资产</w:t>
            </w:r>
            <w:r>
              <w:rPr>
                <w:rFonts w:hint="eastAsia" w:ascii="楷体_GB2312" w:hAnsi="Times New Roman" w:eastAsia="楷体_GB2312"/>
                <w:b/>
                <w:bCs/>
                <w:color w:val="000000"/>
                <w:highlight w:val="none"/>
              </w:rPr>
              <w:t xml:space="preserve"> </w:t>
            </w:r>
            <w:r>
              <w:rPr>
                <w:rFonts w:hint="eastAsia" w:ascii="楷体_GB2312" w:hAnsi="Times New Roman" w:eastAsia="楷体_GB2312"/>
                <w:b w:val="0"/>
                <w:bCs w:val="0"/>
                <w:color w:val="000000"/>
                <w:highlight w:val="none"/>
              </w:rPr>
              <w:t>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val="0"/>
                <w:bCs w:val="0"/>
                <w:color w:val="000000"/>
                <w:highlight w:val="none"/>
              </w:rPr>
              <w:t>3</w:t>
            </w:r>
            <w:r>
              <w:rPr>
                <w:rFonts w:hint="eastAsia" w:ascii="楷体_GB2312" w:hAnsi="Times New Roman" w:eastAsia="楷体_GB2312"/>
                <w:b w:val="0"/>
                <w:bCs w:val="0"/>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val="0"/>
                <w:bCs w:val="0"/>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val="0"/>
                <w:bCs w:val="0"/>
                <w:color w:val="000000"/>
                <w:highlight w:val="none"/>
              </w:rPr>
              <w:t>0-20%</w:t>
            </w:r>
            <w:r>
              <w:rPr>
                <w:rFonts w:hint="eastAsia" w:ascii="楷体" w:hAnsi="楷体" w:eastAsia="楷体" w:cs="楷体"/>
                <w:color w:val="000000"/>
                <w:highlight w:val="none"/>
                <w:lang w:eastAsia="zh-CN"/>
              </w:rPr>
              <w:t>，杠杆率不超</w:t>
            </w:r>
            <w:r>
              <w:rPr>
                <w:rFonts w:hint="eastAsia" w:ascii="楷体" w:hAnsi="楷体" w:eastAsia="楷体" w:cs="楷体"/>
                <w:color w:val="000000"/>
                <w:highlight w:val="none"/>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rPr>
                <w:rFonts w:ascii="Times New Roman" w:hAnsi="Times New Roman" w:eastAsia="楷体_GB2312"/>
                <w:color w:val="000000"/>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2021年1月27日</w:t>
            </w:r>
            <w:r>
              <w:rPr>
                <w:rFonts w:hint="eastAsia" w:eastAsia="楷体_GB2312"/>
                <w:b/>
                <w:color w:val="000000"/>
                <w:u w:val="single"/>
              </w:rPr>
              <w:t>8:30至</w:t>
            </w:r>
            <w:r>
              <w:rPr>
                <w:rFonts w:hint="eastAsia" w:eastAsia="楷体_GB2312"/>
                <w:b/>
                <w:color w:val="000000"/>
                <w:szCs w:val="21"/>
                <w:u w:val="single"/>
              </w:rPr>
              <w:t>2021年2月2日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21年2月3日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41年2月3日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21年2月3日起投资者可提出申购申请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0.5%/</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0.5</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spacing w:line="360" w:lineRule="exact"/>
              <w:rPr>
                <w:rFonts w:hint="eastAsia"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spacing w:line="360" w:lineRule="exact"/>
              <w:rPr>
                <w:rFonts w:ascii="楷体_GB2312" w:hAnsi="Times New Roman" w:eastAsia="楷体_GB2312"/>
                <w:b/>
                <w:bCs/>
                <w:color w:val="000000"/>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例：假设赎回本产品100,000份产品份额，持有时间为182天，假设赎回日前一日产品单位净值是1.03元，则赎回金额为：</w:t>
      </w:r>
    </w:p>
    <w:p>
      <w:pPr>
        <w:spacing w:line="360" w:lineRule="exact"/>
        <w:ind w:firstLine="359" w:firstLineChars="171"/>
        <w:rPr>
          <w:rFonts w:eastAsia="楷体_GB2312"/>
          <w:color w:val="000000"/>
        </w:rPr>
      </w:pPr>
      <w:r>
        <w:rPr>
          <w:rFonts w:hint="eastAsia" w:eastAsia="楷体_GB2312"/>
          <w:color w:val="000000"/>
        </w:rPr>
        <w:t>赎回金额=100,000×1.03=103,000元。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21年2月3日起开放申购，正常情况下每周开放，具体发行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常乐智享六个月A款-1期</w:t>
            </w:r>
          </w:p>
        </w:tc>
        <w:tc>
          <w:tcPr>
            <w:tcW w:w="1320"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01</w:t>
            </w:r>
            <w:r>
              <w:rPr>
                <w:rFonts w:eastAsia="楷体_GB2312"/>
                <w:color w:val="000000"/>
              </w:rPr>
              <w:t>/</w:t>
            </w:r>
            <w:r>
              <w:rPr>
                <w:rFonts w:hint="eastAsia" w:eastAsia="楷体_GB2312"/>
                <w:color w:val="000000"/>
              </w:rPr>
              <w:t>27</w:t>
            </w:r>
          </w:p>
        </w:tc>
        <w:tc>
          <w:tcPr>
            <w:tcW w:w="1297"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02</w:t>
            </w:r>
          </w:p>
        </w:tc>
        <w:tc>
          <w:tcPr>
            <w:tcW w:w="1298"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21</w:t>
            </w:r>
            <w:r>
              <w:rPr>
                <w:rFonts w:eastAsia="楷体_GB2312"/>
                <w:color w:val="000000"/>
              </w:rPr>
              <w:t>/</w:t>
            </w:r>
            <w:r>
              <w:rPr>
                <w:rFonts w:hint="eastAsia" w:eastAsia="楷体_GB2312"/>
                <w:color w:val="000000"/>
              </w:rPr>
              <w:t>02</w:t>
            </w:r>
            <w:r>
              <w:rPr>
                <w:rFonts w:eastAsia="楷体_GB2312"/>
                <w:color w:val="000000"/>
              </w:rPr>
              <w:t>/</w:t>
            </w:r>
            <w:r>
              <w:rPr>
                <w:rFonts w:hint="eastAsia" w:eastAsia="楷体_GB2312"/>
                <w:color w:val="000000"/>
              </w:rPr>
              <w:t>03</w:t>
            </w:r>
          </w:p>
        </w:tc>
        <w:tc>
          <w:tcPr>
            <w:tcW w:w="1890" w:type="dxa"/>
            <w:vAlign w:val="center"/>
          </w:tcPr>
          <w:p>
            <w:pPr>
              <w:spacing w:line="360" w:lineRule="exact"/>
              <w:jc w:val="center"/>
              <w:rPr>
                <w:rFonts w:eastAsia="楷体_GB2312"/>
                <w:color w:val="000000"/>
              </w:rPr>
            </w:pPr>
            <w:r>
              <w:rPr>
                <w:rFonts w:hint="eastAsia" w:eastAsia="楷体_GB2312"/>
                <w:color w:val="000000"/>
              </w:rPr>
              <w:t>182</w:t>
            </w:r>
          </w:p>
        </w:tc>
        <w:tc>
          <w:tcPr>
            <w:tcW w:w="1365" w:type="dxa"/>
            <w:vAlign w:val="center"/>
          </w:tcPr>
          <w:p>
            <w:pPr>
              <w:spacing w:line="360" w:lineRule="exact"/>
              <w:jc w:val="center"/>
              <w:rPr>
                <w:rFonts w:eastAsia="楷体_GB2312"/>
                <w:color w:val="000000"/>
              </w:rPr>
            </w:pPr>
            <w:r>
              <w:rPr>
                <w:rFonts w:eastAsia="楷体_GB2312"/>
                <w:color w:val="000000"/>
              </w:rPr>
              <w:t>20</w:t>
            </w:r>
            <w:r>
              <w:rPr>
                <w:rFonts w:hint="eastAsia" w:eastAsia="楷体_GB2312"/>
                <w:color w:val="000000"/>
              </w:rPr>
              <w:t>2</w:t>
            </w:r>
            <w:r>
              <w:rPr>
                <w:rFonts w:eastAsia="楷体_GB2312"/>
                <w:color w:val="000000"/>
              </w:rPr>
              <w:t>1/</w:t>
            </w:r>
            <w:r>
              <w:rPr>
                <w:rFonts w:hint="eastAsia" w:eastAsia="楷体_GB2312"/>
                <w:color w:val="000000"/>
              </w:rPr>
              <w:t>08</w:t>
            </w:r>
            <w:r>
              <w:rPr>
                <w:rFonts w:eastAsia="楷体_GB2312"/>
                <w:color w:val="000000"/>
              </w:rPr>
              <w:t>/</w:t>
            </w:r>
            <w:r>
              <w:rPr>
                <w:rFonts w:hint="eastAsia" w:eastAsia="楷体_GB2312"/>
                <w:color w:val="000000"/>
              </w:rPr>
              <w:t>04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color w:val="000000"/>
        </w:rPr>
      </w:pPr>
      <w:r>
        <w:rPr>
          <w:rFonts w:hint="eastAsia" w:eastAsia="楷体_GB2312"/>
          <w:color w:val="000000"/>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359" w:firstLineChars="171"/>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snapToGrid w:val="0"/>
        <w:spacing w:line="360" w:lineRule="atLeast"/>
        <w:ind w:firstLine="420" w:firstLineChars="200"/>
        <w:rPr>
          <w:rFonts w:eastAsia="楷体_GB2312"/>
          <w:color w:val="000000"/>
        </w:rPr>
      </w:pPr>
      <w:r>
        <w:rPr>
          <w:rFonts w:hint="eastAsia" w:eastAsia="楷体_GB2312"/>
          <w:color w:val="000000"/>
        </w:rPr>
        <w:t>假设投资者申购本产品</w:t>
      </w:r>
      <w:r>
        <w:rPr>
          <w:rFonts w:eastAsia="楷体_GB2312"/>
          <w:color w:val="000000"/>
        </w:rPr>
        <w:t>5</w:t>
      </w:r>
      <w:r>
        <w:rPr>
          <w:rFonts w:hint="eastAsia" w:eastAsia="楷体_GB2312"/>
          <w:color w:val="000000"/>
        </w:rPr>
        <w:t>万元，公布的182天业绩比较基准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4.50%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，投资者确认份额为</w:t>
      </w:r>
      <w:r>
        <w:rPr>
          <w:rFonts w:eastAsia="楷体_GB2312"/>
          <w:color w:val="000000"/>
        </w:rPr>
        <w:t>49982.72</w:t>
      </w:r>
      <w:r>
        <w:rPr>
          <w:rFonts w:hint="eastAsia" w:eastAsia="楷体_GB2312"/>
          <w:color w:val="000000"/>
        </w:rPr>
        <w:t>份。投资者份额运作满182天自动赎回退出，根据赎回退出日的产品单位净值计算有以下</w:t>
      </w:r>
      <w:r>
        <w:rPr>
          <w:rFonts w:eastAsia="楷体_GB2312"/>
          <w:color w:val="000000"/>
        </w:rPr>
        <w:t>3</w:t>
      </w:r>
      <w:r>
        <w:rPr>
          <w:rFonts w:hint="eastAsia" w:eastAsia="楷体_GB2312"/>
          <w:color w:val="000000"/>
        </w:rPr>
        <w:t>种情形。</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：假设赎回退出时产品单位净值为1.03216927，投资者份额持有期间净值增长率为</w:t>
      </w:r>
      <w:r>
        <w:rPr>
          <w:rFonts w:eastAsia="楷体_GB2312"/>
          <w:color w:val="000000"/>
        </w:rPr>
        <w:t>6.38%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4.50%</w:t>
      </w:r>
      <w:r>
        <w:rPr>
          <w:rFonts w:hint="eastAsia" w:eastAsia="楷体_GB2312"/>
          <w:color w:val="000000"/>
        </w:rPr>
        <w:t>），则常熟农商银行收取</w:t>
      </w:r>
      <w:r>
        <w:rPr>
          <w:rFonts w:eastAsia="楷体_GB2312"/>
          <w:color w:val="000000"/>
        </w:rPr>
        <w:t>1.5%</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业绩报酬，投资者实际收益率为</w:t>
      </w:r>
      <w:r>
        <w:rPr>
          <w:rFonts w:eastAsia="楷体_GB2312"/>
          <w:color w:val="000000"/>
        </w:rPr>
        <w:t>4.88%</w:t>
      </w:r>
      <w:r>
        <w:rPr>
          <w:rFonts w:hint="eastAsia" w:eastAsia="楷体_GB2312"/>
          <w:color w:val="000000"/>
        </w:rPr>
        <w:t>。</w:t>
      </w:r>
    </w:p>
    <w:p>
      <w:pPr>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：假设赎回退出时产品单位净值为1.01635723，投资者份额持有期间净值增长率为</w:t>
      </w:r>
      <w:r>
        <w:rPr>
          <w:rFonts w:eastAsia="楷体_GB2312"/>
          <w:color w:val="000000"/>
        </w:rPr>
        <w:t>3.21%</w:t>
      </w:r>
      <w:r>
        <w:rPr>
          <w:rFonts w:hint="eastAsia" w:eastAsia="楷体_GB2312"/>
          <w:color w:val="000000"/>
        </w:rPr>
        <w:t>，投资者按赎回退出时产品单位净值兑付，投资者实际收益为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情形3：假设赎回退出时产品净值为0.99964735，投资者份额持有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，投资者按赎回退出日产品单位净值兑付，投资者无收益，实际发生本金损失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24442931"/>
      <w:bookmarkStart w:id="1" w:name="_Toc24442988"/>
      <w:bookmarkStart w:id="2" w:name="_Toc37147666"/>
      <w:bookmarkStart w:id="3" w:name="_Toc24442816"/>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本产品拟配置资产的比例为存款、货币基金等现金类资产</w:t>
      </w:r>
      <w:r>
        <w:rPr>
          <w:rFonts w:hint="eastAsia" w:ascii="楷体_GB2312" w:hAnsi="Times New Roman" w:eastAsia="楷体_GB2312"/>
          <w:b/>
          <w:bCs/>
          <w:color w:val="000000"/>
          <w:highlight w:val="none"/>
        </w:rPr>
        <w:t xml:space="preserve"> 0-30%</w:t>
      </w:r>
      <w:r>
        <w:rPr>
          <w:rFonts w:hint="eastAsia" w:ascii="楷体_GB2312" w:hAnsi="Times New Roman" w:eastAsia="楷体_GB2312"/>
          <w:color w:val="000000"/>
          <w:highlight w:val="none"/>
        </w:rPr>
        <w:t>，债券资产、同业存单、同业拆借、回购、债券基金</w:t>
      </w:r>
      <w:r>
        <w:rPr>
          <w:rFonts w:ascii="楷体_GB2312" w:hAnsi="Times New Roman" w:eastAsia="楷体_GB2312"/>
          <w:b/>
          <w:bCs/>
          <w:color w:val="000000"/>
          <w:highlight w:val="none"/>
        </w:rPr>
        <w:t>3</w:t>
      </w:r>
      <w:r>
        <w:rPr>
          <w:rFonts w:hint="eastAsia" w:ascii="楷体_GB2312" w:hAnsi="Times New Roman" w:eastAsia="楷体_GB2312"/>
          <w:b/>
          <w:bCs/>
          <w:color w:val="000000"/>
          <w:highlight w:val="none"/>
        </w:rPr>
        <w:t>0-100%</w:t>
      </w:r>
      <w:r>
        <w:rPr>
          <w:rFonts w:hint="eastAsia" w:ascii="楷体_GB2312" w:hAnsi="Times New Roman" w:eastAsia="楷体_GB2312"/>
          <w:color w:val="000000"/>
          <w:highlight w:val="none"/>
        </w:rPr>
        <w:t>，同业借款、理财直融工具、债权融资计划及其他符合监管要求的债权类资产</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，股票型基金、混合型基金等权益类资产，以及金融衍生品等</w:t>
      </w:r>
      <w:r>
        <w:rPr>
          <w:rFonts w:hint="eastAsia" w:ascii="楷体_GB2312" w:hAnsi="Times New Roman" w:eastAsia="楷体_GB2312"/>
          <w:b/>
          <w:bCs/>
          <w:color w:val="000000"/>
          <w:highlight w:val="none"/>
        </w:rPr>
        <w:t>0-20%</w:t>
      </w:r>
      <w:r>
        <w:rPr>
          <w:rFonts w:hint="eastAsia" w:ascii="楷体_GB2312" w:hAnsi="Times New Roman" w:eastAsia="楷体_GB2312"/>
          <w:color w:val="000000"/>
          <w:highlight w:val="none"/>
        </w:rPr>
        <w:t>。</w:t>
      </w:r>
    </w:p>
    <w:p>
      <w:pPr>
        <w:snapToGrid w:val="0"/>
        <w:spacing w:line="360" w:lineRule="exact"/>
        <w:ind w:firstLine="420" w:firstLineChars="200"/>
        <w:rPr>
          <w:rFonts w:ascii="楷体_GB2312" w:hAnsi="Times New Roman" w:eastAsia="楷体_GB2312"/>
          <w:color w:val="000000"/>
          <w:highlight w:val="none"/>
        </w:rPr>
      </w:pPr>
      <w:r>
        <w:rPr>
          <w:rFonts w:hint="eastAsia" w:ascii="楷体_GB2312" w:hAnsi="Times New Roman" w:eastAsia="楷体_GB2312"/>
          <w:color w:val="000000"/>
          <w:highlight w:val="none"/>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beforeLines="0" w:afterLines="0" w:line="360" w:lineRule="atLeast"/>
        <w:ind w:firstLine="420" w:firstLineChars="200"/>
        <w:jc w:val="left"/>
        <w:rPr>
          <w:color w:val="000000"/>
        </w:rPr>
      </w:pPr>
      <w:r>
        <w:rPr>
          <w:rFonts w:hint="eastAsia" w:eastAsia="楷体_GB2312"/>
          <w:bCs/>
          <w:color w:val="000000"/>
        </w:rPr>
        <w:t>（二）若常熟农商银行宣布提前终止本理财产品，将提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995"/>
      <w:bookmarkStart w:id="5" w:name="_Toc24442938"/>
      <w:bookmarkStart w:id="6" w:name="_Toc37147671"/>
      <w:bookmarkStart w:id="7" w:name="_Toc24442823"/>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r>
        <w:rPr>
          <w:rFonts w:ascii="宋体" w:hAnsi="宋体"/>
          <w:color w:val="000000"/>
          <w:sz w:val="18"/>
          <w:szCs w:val="18"/>
          <w:u w:val="single"/>
        </w:rPr>
        <w:t xml:space="preserve">  </w:t>
      </w:r>
    </w:p>
    <w:p>
      <w:pPr>
        <w:ind w:firstLine="0" w:firstLineChars="0"/>
        <w:jc w:val="right"/>
        <w:rPr>
          <w:rFonts w:ascii="宋体" w:hAnsi="宋体"/>
          <w:color w:val="000000"/>
          <w:sz w:val="1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业务章</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12</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2E97"/>
    <w:rsid w:val="00004F37"/>
    <w:rsid w:val="00006269"/>
    <w:rsid w:val="0001614C"/>
    <w:rsid w:val="000200A7"/>
    <w:rsid w:val="000309B4"/>
    <w:rsid w:val="00037BF0"/>
    <w:rsid w:val="00040800"/>
    <w:rsid w:val="00046F90"/>
    <w:rsid w:val="00050D3D"/>
    <w:rsid w:val="00050F51"/>
    <w:rsid w:val="00052A6F"/>
    <w:rsid w:val="000572BC"/>
    <w:rsid w:val="000620BD"/>
    <w:rsid w:val="000705DB"/>
    <w:rsid w:val="00071348"/>
    <w:rsid w:val="00082576"/>
    <w:rsid w:val="00083C00"/>
    <w:rsid w:val="000904BB"/>
    <w:rsid w:val="00092518"/>
    <w:rsid w:val="00092599"/>
    <w:rsid w:val="000940EC"/>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4091D"/>
    <w:rsid w:val="0034102D"/>
    <w:rsid w:val="00353046"/>
    <w:rsid w:val="0035333B"/>
    <w:rsid w:val="00357EC1"/>
    <w:rsid w:val="00357F9C"/>
    <w:rsid w:val="00360556"/>
    <w:rsid w:val="0036056B"/>
    <w:rsid w:val="00362E77"/>
    <w:rsid w:val="00367062"/>
    <w:rsid w:val="00371957"/>
    <w:rsid w:val="00371E84"/>
    <w:rsid w:val="00374C4E"/>
    <w:rsid w:val="00376C78"/>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5078"/>
    <w:rsid w:val="0042054B"/>
    <w:rsid w:val="00430B9B"/>
    <w:rsid w:val="00435BAC"/>
    <w:rsid w:val="0044019E"/>
    <w:rsid w:val="004402E9"/>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290A"/>
    <w:rsid w:val="007200CF"/>
    <w:rsid w:val="0073261C"/>
    <w:rsid w:val="00734C13"/>
    <w:rsid w:val="007362D1"/>
    <w:rsid w:val="007430A8"/>
    <w:rsid w:val="00751749"/>
    <w:rsid w:val="007538F6"/>
    <w:rsid w:val="00755143"/>
    <w:rsid w:val="0075595E"/>
    <w:rsid w:val="007613EF"/>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637"/>
    <w:rsid w:val="009F2F46"/>
    <w:rsid w:val="009F44C1"/>
    <w:rsid w:val="009F4E97"/>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754D8"/>
    <w:rsid w:val="00C8030B"/>
    <w:rsid w:val="00C82FB9"/>
    <w:rsid w:val="00C830C6"/>
    <w:rsid w:val="00C85B5B"/>
    <w:rsid w:val="00CA03B6"/>
    <w:rsid w:val="00CA2643"/>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5865"/>
    <w:rsid w:val="00D47609"/>
    <w:rsid w:val="00D51B72"/>
    <w:rsid w:val="00D5365A"/>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A7BCE"/>
    <w:rsid w:val="00FC0050"/>
    <w:rsid w:val="00FE0B25"/>
    <w:rsid w:val="00FE0BF4"/>
    <w:rsid w:val="00FE3DD6"/>
    <w:rsid w:val="00FE657D"/>
    <w:rsid w:val="00FE797C"/>
    <w:rsid w:val="00FF3398"/>
    <w:rsid w:val="00FF460C"/>
    <w:rsid w:val="011A07FD"/>
    <w:rsid w:val="01474EA6"/>
    <w:rsid w:val="015107E6"/>
    <w:rsid w:val="020277D8"/>
    <w:rsid w:val="0237530C"/>
    <w:rsid w:val="02485D4E"/>
    <w:rsid w:val="02840131"/>
    <w:rsid w:val="028E264D"/>
    <w:rsid w:val="02C14713"/>
    <w:rsid w:val="02CA1312"/>
    <w:rsid w:val="02EF77E1"/>
    <w:rsid w:val="03243133"/>
    <w:rsid w:val="036C6DAA"/>
    <w:rsid w:val="03E531F1"/>
    <w:rsid w:val="047D2718"/>
    <w:rsid w:val="04815B5D"/>
    <w:rsid w:val="048C0506"/>
    <w:rsid w:val="04A85A30"/>
    <w:rsid w:val="04EF11D6"/>
    <w:rsid w:val="05066B4B"/>
    <w:rsid w:val="053B19FF"/>
    <w:rsid w:val="05711A7E"/>
    <w:rsid w:val="058C00A9"/>
    <w:rsid w:val="05B437EC"/>
    <w:rsid w:val="05F2584F"/>
    <w:rsid w:val="06187C8D"/>
    <w:rsid w:val="064A5EDE"/>
    <w:rsid w:val="06721621"/>
    <w:rsid w:val="068B4749"/>
    <w:rsid w:val="069A535A"/>
    <w:rsid w:val="06BA258E"/>
    <w:rsid w:val="072B6851"/>
    <w:rsid w:val="0731731F"/>
    <w:rsid w:val="07726BC0"/>
    <w:rsid w:val="077730CD"/>
    <w:rsid w:val="07A239ED"/>
    <w:rsid w:val="07B55485"/>
    <w:rsid w:val="07BA06BE"/>
    <w:rsid w:val="07C74150"/>
    <w:rsid w:val="084837A5"/>
    <w:rsid w:val="08487F22"/>
    <w:rsid w:val="085262B3"/>
    <w:rsid w:val="086246CF"/>
    <w:rsid w:val="086D2969"/>
    <w:rsid w:val="08B140CE"/>
    <w:rsid w:val="09561B46"/>
    <w:rsid w:val="09B330D1"/>
    <w:rsid w:val="09D94E35"/>
    <w:rsid w:val="09DD76C5"/>
    <w:rsid w:val="09FB2DEB"/>
    <w:rsid w:val="09FC7D34"/>
    <w:rsid w:val="0A1F762B"/>
    <w:rsid w:val="0A3B3BD5"/>
    <w:rsid w:val="0A436A63"/>
    <w:rsid w:val="0A5C798D"/>
    <w:rsid w:val="0A697B87"/>
    <w:rsid w:val="0A8E1461"/>
    <w:rsid w:val="0A9C2975"/>
    <w:rsid w:val="0AB74823"/>
    <w:rsid w:val="0AC57691"/>
    <w:rsid w:val="0B322C9A"/>
    <w:rsid w:val="0B921C08"/>
    <w:rsid w:val="0BE36CA3"/>
    <w:rsid w:val="0BF82C31"/>
    <w:rsid w:val="0C6E04EF"/>
    <w:rsid w:val="0CAB26D5"/>
    <w:rsid w:val="0CB17E61"/>
    <w:rsid w:val="0CC42696"/>
    <w:rsid w:val="0D552B6D"/>
    <w:rsid w:val="0D6A7733"/>
    <w:rsid w:val="0D7359A1"/>
    <w:rsid w:val="0D8C100B"/>
    <w:rsid w:val="0D9C536D"/>
    <w:rsid w:val="0DC76AD5"/>
    <w:rsid w:val="0E183F30"/>
    <w:rsid w:val="0E1A7433"/>
    <w:rsid w:val="0E217209"/>
    <w:rsid w:val="0E240FCD"/>
    <w:rsid w:val="0E8C5D7C"/>
    <w:rsid w:val="0E8F15F0"/>
    <w:rsid w:val="0EA31E5A"/>
    <w:rsid w:val="0EB44007"/>
    <w:rsid w:val="0EB47D53"/>
    <w:rsid w:val="0ED158DD"/>
    <w:rsid w:val="103764A9"/>
    <w:rsid w:val="105B1B61"/>
    <w:rsid w:val="10807BA2"/>
    <w:rsid w:val="10997447"/>
    <w:rsid w:val="10A854E3"/>
    <w:rsid w:val="11044578"/>
    <w:rsid w:val="114A726B"/>
    <w:rsid w:val="116B08B9"/>
    <w:rsid w:val="116F3C27"/>
    <w:rsid w:val="1186384C"/>
    <w:rsid w:val="11D3174D"/>
    <w:rsid w:val="12111CE2"/>
    <w:rsid w:val="12374872"/>
    <w:rsid w:val="125633BB"/>
    <w:rsid w:val="12683545"/>
    <w:rsid w:val="128F1B00"/>
    <w:rsid w:val="12A32D1F"/>
    <w:rsid w:val="12C82F5F"/>
    <w:rsid w:val="12D304A4"/>
    <w:rsid w:val="12E654FE"/>
    <w:rsid w:val="12F37001"/>
    <w:rsid w:val="13180760"/>
    <w:rsid w:val="13574BF4"/>
    <w:rsid w:val="13664799"/>
    <w:rsid w:val="13853312"/>
    <w:rsid w:val="13860D94"/>
    <w:rsid w:val="13AD22D8"/>
    <w:rsid w:val="13B35317"/>
    <w:rsid w:val="13BD2E84"/>
    <w:rsid w:val="13E56022"/>
    <w:rsid w:val="13FA6B54"/>
    <w:rsid w:val="13FC2057"/>
    <w:rsid w:val="142D60AA"/>
    <w:rsid w:val="14480E52"/>
    <w:rsid w:val="1462527F"/>
    <w:rsid w:val="14A127E5"/>
    <w:rsid w:val="14A8724E"/>
    <w:rsid w:val="14DD6A4A"/>
    <w:rsid w:val="15584512"/>
    <w:rsid w:val="15596EC0"/>
    <w:rsid w:val="15995898"/>
    <w:rsid w:val="1604074F"/>
    <w:rsid w:val="16391602"/>
    <w:rsid w:val="164467AA"/>
    <w:rsid w:val="168A398A"/>
    <w:rsid w:val="16B36D4D"/>
    <w:rsid w:val="16E21E1B"/>
    <w:rsid w:val="16F577B6"/>
    <w:rsid w:val="1703454E"/>
    <w:rsid w:val="17206192"/>
    <w:rsid w:val="17AF08A9"/>
    <w:rsid w:val="17D313A3"/>
    <w:rsid w:val="17DB7587"/>
    <w:rsid w:val="17E70043"/>
    <w:rsid w:val="17E91348"/>
    <w:rsid w:val="17F6065E"/>
    <w:rsid w:val="181E68F0"/>
    <w:rsid w:val="18292F6E"/>
    <w:rsid w:val="182D2D36"/>
    <w:rsid w:val="18B60219"/>
    <w:rsid w:val="18D944D4"/>
    <w:rsid w:val="18DD7D48"/>
    <w:rsid w:val="18DF3E5F"/>
    <w:rsid w:val="191142D4"/>
    <w:rsid w:val="193225E4"/>
    <w:rsid w:val="197874D5"/>
    <w:rsid w:val="19A50560"/>
    <w:rsid w:val="19D4203E"/>
    <w:rsid w:val="19DC4FFB"/>
    <w:rsid w:val="19E908B9"/>
    <w:rsid w:val="1A29778A"/>
    <w:rsid w:val="1A300983"/>
    <w:rsid w:val="1A3E42B2"/>
    <w:rsid w:val="1A491DAC"/>
    <w:rsid w:val="1A8F0322"/>
    <w:rsid w:val="1AAF48E3"/>
    <w:rsid w:val="1B171500"/>
    <w:rsid w:val="1B3724A7"/>
    <w:rsid w:val="1B3F1135"/>
    <w:rsid w:val="1BC85AA0"/>
    <w:rsid w:val="1C2E0BDD"/>
    <w:rsid w:val="1C392F29"/>
    <w:rsid w:val="1C4B58B8"/>
    <w:rsid w:val="1C6F2DB6"/>
    <w:rsid w:val="1C7F1A3E"/>
    <w:rsid w:val="1C951971"/>
    <w:rsid w:val="1C9945C4"/>
    <w:rsid w:val="1CB15A1E"/>
    <w:rsid w:val="1D5079E6"/>
    <w:rsid w:val="1D86477C"/>
    <w:rsid w:val="1D9E2AC6"/>
    <w:rsid w:val="1DBA3E18"/>
    <w:rsid w:val="1E0E375C"/>
    <w:rsid w:val="1E2C078D"/>
    <w:rsid w:val="1E414EAF"/>
    <w:rsid w:val="1E5D6D5E"/>
    <w:rsid w:val="1EBE5AFE"/>
    <w:rsid w:val="1EF67E9C"/>
    <w:rsid w:val="1F163F8E"/>
    <w:rsid w:val="1F4958D9"/>
    <w:rsid w:val="1FFD5EF7"/>
    <w:rsid w:val="20031085"/>
    <w:rsid w:val="20174E36"/>
    <w:rsid w:val="204C6209"/>
    <w:rsid w:val="206F170E"/>
    <w:rsid w:val="20F879A7"/>
    <w:rsid w:val="21060EBB"/>
    <w:rsid w:val="21510752"/>
    <w:rsid w:val="21540FBA"/>
    <w:rsid w:val="21637056"/>
    <w:rsid w:val="21783778"/>
    <w:rsid w:val="21BF7730"/>
    <w:rsid w:val="21D44D8B"/>
    <w:rsid w:val="221A5500"/>
    <w:rsid w:val="222C0C9D"/>
    <w:rsid w:val="223C5D9A"/>
    <w:rsid w:val="22427F80"/>
    <w:rsid w:val="22480186"/>
    <w:rsid w:val="22850432"/>
    <w:rsid w:val="228A48BA"/>
    <w:rsid w:val="22AE1C87"/>
    <w:rsid w:val="22E31B89"/>
    <w:rsid w:val="232F3534"/>
    <w:rsid w:val="234341C3"/>
    <w:rsid w:val="23B36272"/>
    <w:rsid w:val="23DB2F62"/>
    <w:rsid w:val="23E24473"/>
    <w:rsid w:val="23ED4783"/>
    <w:rsid w:val="24335B6F"/>
    <w:rsid w:val="25147B41"/>
    <w:rsid w:val="251A1C01"/>
    <w:rsid w:val="25544D4D"/>
    <w:rsid w:val="257B16D7"/>
    <w:rsid w:val="258731F5"/>
    <w:rsid w:val="25E04F4F"/>
    <w:rsid w:val="260D50A7"/>
    <w:rsid w:val="264158CF"/>
    <w:rsid w:val="265213ED"/>
    <w:rsid w:val="267E1DB2"/>
    <w:rsid w:val="26CB5833"/>
    <w:rsid w:val="26CD3DC5"/>
    <w:rsid w:val="26D37F62"/>
    <w:rsid w:val="26EA2611"/>
    <w:rsid w:val="2777406A"/>
    <w:rsid w:val="27C512CF"/>
    <w:rsid w:val="27E53D82"/>
    <w:rsid w:val="27FD0B92"/>
    <w:rsid w:val="28405395"/>
    <w:rsid w:val="285862BF"/>
    <w:rsid w:val="2881190E"/>
    <w:rsid w:val="28BC293D"/>
    <w:rsid w:val="28F76BC7"/>
    <w:rsid w:val="29095BA3"/>
    <w:rsid w:val="29AB358A"/>
    <w:rsid w:val="29BF1089"/>
    <w:rsid w:val="29C0458C"/>
    <w:rsid w:val="29CE34BB"/>
    <w:rsid w:val="29DB2BB8"/>
    <w:rsid w:val="2A017DDD"/>
    <w:rsid w:val="2A120B13"/>
    <w:rsid w:val="2A3D3B63"/>
    <w:rsid w:val="2A842B20"/>
    <w:rsid w:val="2AA76E09"/>
    <w:rsid w:val="2B700A50"/>
    <w:rsid w:val="2B7661DC"/>
    <w:rsid w:val="2C110389"/>
    <w:rsid w:val="2C1B2A1C"/>
    <w:rsid w:val="2C372A17"/>
    <w:rsid w:val="2C6820A6"/>
    <w:rsid w:val="2C8C7F23"/>
    <w:rsid w:val="2CD07712"/>
    <w:rsid w:val="2D324A76"/>
    <w:rsid w:val="2D406ACD"/>
    <w:rsid w:val="2DA54273"/>
    <w:rsid w:val="2DBA5111"/>
    <w:rsid w:val="2E286892"/>
    <w:rsid w:val="2E475FFA"/>
    <w:rsid w:val="2E627EA9"/>
    <w:rsid w:val="2E922BF6"/>
    <w:rsid w:val="2EF54743"/>
    <w:rsid w:val="2F5B483E"/>
    <w:rsid w:val="2FCF25FE"/>
    <w:rsid w:val="305B7C64"/>
    <w:rsid w:val="309E19D2"/>
    <w:rsid w:val="30BE2751"/>
    <w:rsid w:val="30C5586F"/>
    <w:rsid w:val="30E65649"/>
    <w:rsid w:val="316C6324"/>
    <w:rsid w:val="319F74FD"/>
    <w:rsid w:val="31BB30A3"/>
    <w:rsid w:val="31C96B5A"/>
    <w:rsid w:val="320831A2"/>
    <w:rsid w:val="323C6F23"/>
    <w:rsid w:val="32662F17"/>
    <w:rsid w:val="326D5E9B"/>
    <w:rsid w:val="329B0193"/>
    <w:rsid w:val="32AD3ECF"/>
    <w:rsid w:val="32EA7018"/>
    <w:rsid w:val="33A928CE"/>
    <w:rsid w:val="33C2127A"/>
    <w:rsid w:val="33E24302"/>
    <w:rsid w:val="33E46427"/>
    <w:rsid w:val="33FF10DF"/>
    <w:rsid w:val="348A3241"/>
    <w:rsid w:val="349539FF"/>
    <w:rsid w:val="34A075E3"/>
    <w:rsid w:val="34A672EE"/>
    <w:rsid w:val="34D06C8E"/>
    <w:rsid w:val="34EB51C8"/>
    <w:rsid w:val="34ED54E4"/>
    <w:rsid w:val="355A1216"/>
    <w:rsid w:val="357F17EA"/>
    <w:rsid w:val="35C34243"/>
    <w:rsid w:val="35F13A8D"/>
    <w:rsid w:val="369C499D"/>
    <w:rsid w:val="36A2002D"/>
    <w:rsid w:val="36CB3D61"/>
    <w:rsid w:val="36D24400"/>
    <w:rsid w:val="372B6EED"/>
    <w:rsid w:val="374E17CB"/>
    <w:rsid w:val="376A7A76"/>
    <w:rsid w:val="37C13D08"/>
    <w:rsid w:val="384D38EC"/>
    <w:rsid w:val="38D45B95"/>
    <w:rsid w:val="39057817"/>
    <w:rsid w:val="392E091B"/>
    <w:rsid w:val="39674039"/>
    <w:rsid w:val="39682ADB"/>
    <w:rsid w:val="39900A80"/>
    <w:rsid w:val="3997311F"/>
    <w:rsid w:val="39A43E9E"/>
    <w:rsid w:val="39B131B3"/>
    <w:rsid w:val="39B905C0"/>
    <w:rsid w:val="39D236E8"/>
    <w:rsid w:val="39D3116A"/>
    <w:rsid w:val="39F529A3"/>
    <w:rsid w:val="39FB232E"/>
    <w:rsid w:val="3A2B507B"/>
    <w:rsid w:val="3A2D057F"/>
    <w:rsid w:val="3ADD4E9F"/>
    <w:rsid w:val="3B082ABA"/>
    <w:rsid w:val="3B0E69A9"/>
    <w:rsid w:val="3B9F0B0B"/>
    <w:rsid w:val="3C8A5FD8"/>
    <w:rsid w:val="3CC06339"/>
    <w:rsid w:val="3CF442DF"/>
    <w:rsid w:val="3CFB7418"/>
    <w:rsid w:val="3D3921C5"/>
    <w:rsid w:val="3D53112B"/>
    <w:rsid w:val="3D754D6F"/>
    <w:rsid w:val="3D930C99"/>
    <w:rsid w:val="3DAA1B3A"/>
    <w:rsid w:val="3DC65BE7"/>
    <w:rsid w:val="3E135010"/>
    <w:rsid w:val="3E1958A3"/>
    <w:rsid w:val="3E2D0A8E"/>
    <w:rsid w:val="3E5654D6"/>
    <w:rsid w:val="3EF25354"/>
    <w:rsid w:val="3F494FE9"/>
    <w:rsid w:val="3FA163F2"/>
    <w:rsid w:val="3FC55E64"/>
    <w:rsid w:val="402356C6"/>
    <w:rsid w:val="40267F87"/>
    <w:rsid w:val="403147CD"/>
    <w:rsid w:val="40516596"/>
    <w:rsid w:val="405E4CFE"/>
    <w:rsid w:val="410C3445"/>
    <w:rsid w:val="412F645D"/>
    <w:rsid w:val="414D3EAF"/>
    <w:rsid w:val="417A734F"/>
    <w:rsid w:val="41C837F8"/>
    <w:rsid w:val="41D06B49"/>
    <w:rsid w:val="41FD4053"/>
    <w:rsid w:val="425D61F8"/>
    <w:rsid w:val="428B1338"/>
    <w:rsid w:val="42E94F55"/>
    <w:rsid w:val="42F176D0"/>
    <w:rsid w:val="433462CE"/>
    <w:rsid w:val="4359650D"/>
    <w:rsid w:val="43CD51C7"/>
    <w:rsid w:val="43E17BFA"/>
    <w:rsid w:val="4430746A"/>
    <w:rsid w:val="4450106D"/>
    <w:rsid w:val="445A3B32"/>
    <w:rsid w:val="446E05D4"/>
    <w:rsid w:val="44E232A9"/>
    <w:rsid w:val="4506433E"/>
    <w:rsid w:val="455E2608"/>
    <w:rsid w:val="45A5284F"/>
    <w:rsid w:val="45D2476C"/>
    <w:rsid w:val="45FD6761"/>
    <w:rsid w:val="460C24D6"/>
    <w:rsid w:val="464D55E6"/>
    <w:rsid w:val="46534F71"/>
    <w:rsid w:val="467609A9"/>
    <w:rsid w:val="46B77214"/>
    <w:rsid w:val="46D467C4"/>
    <w:rsid w:val="46EB2B66"/>
    <w:rsid w:val="46EE736E"/>
    <w:rsid w:val="46FD0882"/>
    <w:rsid w:val="474422FB"/>
    <w:rsid w:val="47473D41"/>
    <w:rsid w:val="4757351A"/>
    <w:rsid w:val="47974304"/>
    <w:rsid w:val="47A612CF"/>
    <w:rsid w:val="47E40B80"/>
    <w:rsid w:val="47EC4E4B"/>
    <w:rsid w:val="480A2FBE"/>
    <w:rsid w:val="48185B57"/>
    <w:rsid w:val="487C587B"/>
    <w:rsid w:val="489B28AD"/>
    <w:rsid w:val="49165266"/>
    <w:rsid w:val="49244D8F"/>
    <w:rsid w:val="49547ADD"/>
    <w:rsid w:val="495758F6"/>
    <w:rsid w:val="49792302"/>
    <w:rsid w:val="49AB4C68"/>
    <w:rsid w:val="49AB5C26"/>
    <w:rsid w:val="49D01002"/>
    <w:rsid w:val="49D074BD"/>
    <w:rsid w:val="49D07B24"/>
    <w:rsid w:val="49F308E0"/>
    <w:rsid w:val="4A0A01DD"/>
    <w:rsid w:val="4A17781B"/>
    <w:rsid w:val="4A2645B2"/>
    <w:rsid w:val="4A7F30E4"/>
    <w:rsid w:val="4AA25200"/>
    <w:rsid w:val="4AD743D6"/>
    <w:rsid w:val="4B2D0403"/>
    <w:rsid w:val="4B4807C6"/>
    <w:rsid w:val="4B5F55B3"/>
    <w:rsid w:val="4CAF785F"/>
    <w:rsid w:val="4D255156"/>
    <w:rsid w:val="4D2C1252"/>
    <w:rsid w:val="4D305A5F"/>
    <w:rsid w:val="4D4D4DDF"/>
    <w:rsid w:val="4D5634F0"/>
    <w:rsid w:val="4D5D1F40"/>
    <w:rsid w:val="4DB95793"/>
    <w:rsid w:val="4DD3633D"/>
    <w:rsid w:val="4DD509E9"/>
    <w:rsid w:val="4DDF0F63"/>
    <w:rsid w:val="4DF3474B"/>
    <w:rsid w:val="4E0E506F"/>
    <w:rsid w:val="4E4B256C"/>
    <w:rsid w:val="4E501D2A"/>
    <w:rsid w:val="4E80511F"/>
    <w:rsid w:val="4E884B66"/>
    <w:rsid w:val="4E8F0CF5"/>
    <w:rsid w:val="4EA33192"/>
    <w:rsid w:val="4EB621B3"/>
    <w:rsid w:val="4EF26794"/>
    <w:rsid w:val="4EFB2AF1"/>
    <w:rsid w:val="4F1637C8"/>
    <w:rsid w:val="4F3C52D6"/>
    <w:rsid w:val="4F454F19"/>
    <w:rsid w:val="4F923C1E"/>
    <w:rsid w:val="4FBB03DB"/>
    <w:rsid w:val="4FC129A1"/>
    <w:rsid w:val="50120DEA"/>
    <w:rsid w:val="50146E75"/>
    <w:rsid w:val="502A3FA0"/>
    <w:rsid w:val="503F6BEE"/>
    <w:rsid w:val="50BB5D80"/>
    <w:rsid w:val="51186119"/>
    <w:rsid w:val="51291058"/>
    <w:rsid w:val="51322546"/>
    <w:rsid w:val="51465964"/>
    <w:rsid w:val="514C786D"/>
    <w:rsid w:val="51694C1F"/>
    <w:rsid w:val="51827D47"/>
    <w:rsid w:val="51AA7C07"/>
    <w:rsid w:val="51E00BA5"/>
    <w:rsid w:val="52163CAA"/>
    <w:rsid w:val="521C7F46"/>
    <w:rsid w:val="52553923"/>
    <w:rsid w:val="52686D40"/>
    <w:rsid w:val="52995311"/>
    <w:rsid w:val="5335235D"/>
    <w:rsid w:val="5338218F"/>
    <w:rsid w:val="537101A1"/>
    <w:rsid w:val="539C5E38"/>
    <w:rsid w:val="53CD4BD4"/>
    <w:rsid w:val="53D6159A"/>
    <w:rsid w:val="53E828D6"/>
    <w:rsid w:val="545B07F5"/>
    <w:rsid w:val="545E1B1E"/>
    <w:rsid w:val="54766E20"/>
    <w:rsid w:val="54DB67C4"/>
    <w:rsid w:val="54DD1CC8"/>
    <w:rsid w:val="551256A6"/>
    <w:rsid w:val="551A792E"/>
    <w:rsid w:val="5536145D"/>
    <w:rsid w:val="5557452B"/>
    <w:rsid w:val="55670D8B"/>
    <w:rsid w:val="556D4434"/>
    <w:rsid w:val="559C59C0"/>
    <w:rsid w:val="55AB141B"/>
    <w:rsid w:val="55AB5B98"/>
    <w:rsid w:val="55C022BA"/>
    <w:rsid w:val="55C909CB"/>
    <w:rsid w:val="563F7711"/>
    <w:rsid w:val="565B37BE"/>
    <w:rsid w:val="569B1267"/>
    <w:rsid w:val="56AC22C3"/>
    <w:rsid w:val="56B131D8"/>
    <w:rsid w:val="56CE5F18"/>
    <w:rsid w:val="56FE3FDE"/>
    <w:rsid w:val="573E115F"/>
    <w:rsid w:val="576747DC"/>
    <w:rsid w:val="57AD4F45"/>
    <w:rsid w:val="57DE5EB8"/>
    <w:rsid w:val="57FB5468"/>
    <w:rsid w:val="57FE63ED"/>
    <w:rsid w:val="581B7F1B"/>
    <w:rsid w:val="58D21C48"/>
    <w:rsid w:val="58DB6CD4"/>
    <w:rsid w:val="58DE7C59"/>
    <w:rsid w:val="58E9186D"/>
    <w:rsid w:val="59284BD5"/>
    <w:rsid w:val="593A02F9"/>
    <w:rsid w:val="594D0E06"/>
    <w:rsid w:val="59850E94"/>
    <w:rsid w:val="59B5223B"/>
    <w:rsid w:val="5A3E219F"/>
    <w:rsid w:val="5A432DA3"/>
    <w:rsid w:val="5A81068A"/>
    <w:rsid w:val="5A8A2BB3"/>
    <w:rsid w:val="5B214990"/>
    <w:rsid w:val="5B374935"/>
    <w:rsid w:val="5B4E04D4"/>
    <w:rsid w:val="5B9B0DD6"/>
    <w:rsid w:val="5C096CA9"/>
    <w:rsid w:val="5C2515A2"/>
    <w:rsid w:val="5C372A61"/>
    <w:rsid w:val="5C983E89"/>
    <w:rsid w:val="5CB163A0"/>
    <w:rsid w:val="5CD37BDA"/>
    <w:rsid w:val="5CF15194"/>
    <w:rsid w:val="5CFB5748"/>
    <w:rsid w:val="5D0C1038"/>
    <w:rsid w:val="5D762C66"/>
    <w:rsid w:val="5D9D04F4"/>
    <w:rsid w:val="5DDA56EA"/>
    <w:rsid w:val="5DDB040C"/>
    <w:rsid w:val="5E1A7EF1"/>
    <w:rsid w:val="5E782489"/>
    <w:rsid w:val="5ED460FD"/>
    <w:rsid w:val="5EE475B9"/>
    <w:rsid w:val="5F517BED"/>
    <w:rsid w:val="5F9708FA"/>
    <w:rsid w:val="5FA7097C"/>
    <w:rsid w:val="600D76AB"/>
    <w:rsid w:val="6012002C"/>
    <w:rsid w:val="60837066"/>
    <w:rsid w:val="60865FE8"/>
    <w:rsid w:val="612C0778"/>
    <w:rsid w:val="61414E9A"/>
    <w:rsid w:val="614800A8"/>
    <w:rsid w:val="619F2CB5"/>
    <w:rsid w:val="61E60EAB"/>
    <w:rsid w:val="62187856"/>
    <w:rsid w:val="62246792"/>
    <w:rsid w:val="622C3B9E"/>
    <w:rsid w:val="6231734D"/>
    <w:rsid w:val="623A49C4"/>
    <w:rsid w:val="626016AF"/>
    <w:rsid w:val="62852296"/>
    <w:rsid w:val="62BE0E99"/>
    <w:rsid w:val="62FA54F0"/>
    <w:rsid w:val="632C1C57"/>
    <w:rsid w:val="634642EB"/>
    <w:rsid w:val="639E361F"/>
    <w:rsid w:val="63B9462A"/>
    <w:rsid w:val="640E2396"/>
    <w:rsid w:val="641A7B46"/>
    <w:rsid w:val="64451C8F"/>
    <w:rsid w:val="646666C9"/>
    <w:rsid w:val="64A66A83"/>
    <w:rsid w:val="65171FE8"/>
    <w:rsid w:val="657171FE"/>
    <w:rsid w:val="65891022"/>
    <w:rsid w:val="65D319B8"/>
    <w:rsid w:val="65E43CBA"/>
    <w:rsid w:val="65F364D3"/>
    <w:rsid w:val="664839DE"/>
    <w:rsid w:val="66600FEC"/>
    <w:rsid w:val="66996C60"/>
    <w:rsid w:val="66C37AA5"/>
    <w:rsid w:val="66EC37A0"/>
    <w:rsid w:val="66F332D5"/>
    <w:rsid w:val="6709601B"/>
    <w:rsid w:val="670B371C"/>
    <w:rsid w:val="674001A7"/>
    <w:rsid w:val="67514DA2"/>
    <w:rsid w:val="67617776"/>
    <w:rsid w:val="677478C8"/>
    <w:rsid w:val="67B12224"/>
    <w:rsid w:val="67ED628D"/>
    <w:rsid w:val="67F4369A"/>
    <w:rsid w:val="67F873DF"/>
    <w:rsid w:val="67FA55A3"/>
    <w:rsid w:val="67FB68A8"/>
    <w:rsid w:val="681151C8"/>
    <w:rsid w:val="68665F57"/>
    <w:rsid w:val="687E7D7B"/>
    <w:rsid w:val="693130A1"/>
    <w:rsid w:val="69790F04"/>
    <w:rsid w:val="69D07728"/>
    <w:rsid w:val="69FF6F72"/>
    <w:rsid w:val="6A0A299B"/>
    <w:rsid w:val="6A1B68A2"/>
    <w:rsid w:val="6A906493"/>
    <w:rsid w:val="6B090729"/>
    <w:rsid w:val="6B0F11E2"/>
    <w:rsid w:val="6B9103C3"/>
    <w:rsid w:val="6BF07722"/>
    <w:rsid w:val="6C0210B1"/>
    <w:rsid w:val="6C38059F"/>
    <w:rsid w:val="6C496EB7"/>
    <w:rsid w:val="6C6860E7"/>
    <w:rsid w:val="6C8947F6"/>
    <w:rsid w:val="6CF3643A"/>
    <w:rsid w:val="6CF4266F"/>
    <w:rsid w:val="6D270D6E"/>
    <w:rsid w:val="6D9632D6"/>
    <w:rsid w:val="6DCA3B30"/>
    <w:rsid w:val="6DED1766"/>
    <w:rsid w:val="6DF139EF"/>
    <w:rsid w:val="6E3C2B6A"/>
    <w:rsid w:val="6E6E7F2A"/>
    <w:rsid w:val="6E725242"/>
    <w:rsid w:val="6E965EC4"/>
    <w:rsid w:val="6E9C3E88"/>
    <w:rsid w:val="6EAF50A7"/>
    <w:rsid w:val="6EC61449"/>
    <w:rsid w:val="6ED177DA"/>
    <w:rsid w:val="6F013206"/>
    <w:rsid w:val="6F410D93"/>
    <w:rsid w:val="6F4A74A4"/>
    <w:rsid w:val="6F760366"/>
    <w:rsid w:val="6FC56DEE"/>
    <w:rsid w:val="6FD04AFC"/>
    <w:rsid w:val="6FD47408"/>
    <w:rsid w:val="6FD8258B"/>
    <w:rsid w:val="6FEA15AC"/>
    <w:rsid w:val="6FF30BB6"/>
    <w:rsid w:val="700529B7"/>
    <w:rsid w:val="70065659"/>
    <w:rsid w:val="70113072"/>
    <w:rsid w:val="70173375"/>
    <w:rsid w:val="70335223"/>
    <w:rsid w:val="704C7DF4"/>
    <w:rsid w:val="70670B75"/>
    <w:rsid w:val="70676382"/>
    <w:rsid w:val="70966CD5"/>
    <w:rsid w:val="709848AF"/>
    <w:rsid w:val="70FA71EB"/>
    <w:rsid w:val="7140694D"/>
    <w:rsid w:val="71A74D85"/>
    <w:rsid w:val="71B43E9D"/>
    <w:rsid w:val="71C80B3D"/>
    <w:rsid w:val="71CD585B"/>
    <w:rsid w:val="71CE7C91"/>
    <w:rsid w:val="71F21D23"/>
    <w:rsid w:val="72141D3C"/>
    <w:rsid w:val="722269D3"/>
    <w:rsid w:val="72401A80"/>
    <w:rsid w:val="7251199A"/>
    <w:rsid w:val="7254291F"/>
    <w:rsid w:val="729E5448"/>
    <w:rsid w:val="72C46456"/>
    <w:rsid w:val="72CC5B95"/>
    <w:rsid w:val="73662FED"/>
    <w:rsid w:val="73763CFB"/>
    <w:rsid w:val="737F6B89"/>
    <w:rsid w:val="739003CE"/>
    <w:rsid w:val="739A0A38"/>
    <w:rsid w:val="73C31BFC"/>
    <w:rsid w:val="73CD470A"/>
    <w:rsid w:val="73F80DD1"/>
    <w:rsid w:val="742E40BB"/>
    <w:rsid w:val="7457466E"/>
    <w:rsid w:val="74694588"/>
    <w:rsid w:val="7475315E"/>
    <w:rsid w:val="74C04F97"/>
    <w:rsid w:val="74D12A3C"/>
    <w:rsid w:val="74FA76FB"/>
    <w:rsid w:val="750D5096"/>
    <w:rsid w:val="75470F55"/>
    <w:rsid w:val="75732515"/>
    <w:rsid w:val="7585185D"/>
    <w:rsid w:val="759871F9"/>
    <w:rsid w:val="75E91581"/>
    <w:rsid w:val="75E95CFE"/>
    <w:rsid w:val="76010E26"/>
    <w:rsid w:val="76F31A34"/>
    <w:rsid w:val="77673652"/>
    <w:rsid w:val="77740D08"/>
    <w:rsid w:val="7776420B"/>
    <w:rsid w:val="777E2CC4"/>
    <w:rsid w:val="778D7463"/>
    <w:rsid w:val="77E757C4"/>
    <w:rsid w:val="78131B3E"/>
    <w:rsid w:val="784A5BBA"/>
    <w:rsid w:val="7866639F"/>
    <w:rsid w:val="790E68AB"/>
    <w:rsid w:val="79990A0D"/>
    <w:rsid w:val="79AE5130"/>
    <w:rsid w:val="79D704F2"/>
    <w:rsid w:val="79E7658E"/>
    <w:rsid w:val="79F57AA2"/>
    <w:rsid w:val="79F964A8"/>
    <w:rsid w:val="7A610456"/>
    <w:rsid w:val="7A6300D6"/>
    <w:rsid w:val="7A89297E"/>
    <w:rsid w:val="7AAD2AD4"/>
    <w:rsid w:val="7AC9440C"/>
    <w:rsid w:val="7B1645D1"/>
    <w:rsid w:val="7B186900"/>
    <w:rsid w:val="7B3B2338"/>
    <w:rsid w:val="7BA051AE"/>
    <w:rsid w:val="7BCD512A"/>
    <w:rsid w:val="7BF42DEB"/>
    <w:rsid w:val="7C0F7FDD"/>
    <w:rsid w:val="7C997C61"/>
    <w:rsid w:val="7CA01C22"/>
    <w:rsid w:val="7CA4518D"/>
    <w:rsid w:val="7CC940C8"/>
    <w:rsid w:val="7D1379BF"/>
    <w:rsid w:val="7D3E5210"/>
    <w:rsid w:val="7D7265C6"/>
    <w:rsid w:val="7DC62CE6"/>
    <w:rsid w:val="7DD86484"/>
    <w:rsid w:val="7DF30332"/>
    <w:rsid w:val="7E34216C"/>
    <w:rsid w:val="7E7B17D5"/>
    <w:rsid w:val="7F095439"/>
    <w:rsid w:val="7F5A30FD"/>
    <w:rsid w:val="7F751728"/>
    <w:rsid w:val="7FDC23D1"/>
    <w:rsid w:val="7FE142DA"/>
    <w:rsid w:val="7FE66564"/>
    <w:rsid w:val="7FEF6E7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15259</Characters>
  <Lines>127</Lines>
  <Paragraphs>35</Paragraphs>
  <TotalTime>3</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2026-02-10T07:03:43Z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F463181C746F43D5B488A60D2E208B8D</vt:lpwstr>
  </property>
</Properties>
</file>