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常乐智享六个月B款净值型理财产品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12"/>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w:t>
            </w:r>
            <w:r>
              <w:rPr>
                <w:rFonts w:hint="eastAsia" w:ascii="宋体" w:hAnsi="宋体" w:cs="宋体"/>
                <w:color w:val="000000"/>
                <w:sz w:val="24"/>
                <w:szCs w:val="24"/>
                <w:u w:val="none"/>
                <w:lang w:val="en-US" w:eastAsia="zh-CN"/>
              </w:rPr>
              <w:t>B</w:t>
            </w:r>
            <w:r>
              <w:rPr>
                <w:rFonts w:hint="eastAsia" w:ascii="宋体" w:hAnsi="宋体" w:cs="宋体"/>
                <w:color w:val="000000"/>
                <w:sz w:val="24"/>
                <w:szCs w:val="24"/>
                <w:u w:val="none"/>
                <w:lang w:eastAsia="zh-CN"/>
              </w:rPr>
              <w:t>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236</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CLZXB6M236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29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06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182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eastAsia="宋体" w:cs="宋体"/>
                <w:color w:val="000000"/>
                <w:kern w:val="0"/>
                <w:sz w:val="24"/>
                <w:szCs w:val="24"/>
                <w:u w:val="none"/>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u w:val="none"/>
                <w:lang w:eastAsia="zh-CN"/>
              </w:rPr>
            </w:pP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人民银行</w:t>
            </w:r>
            <w:r>
              <w:rPr>
                <w:rFonts w:hint="eastAsia" w:ascii="宋体" w:hAnsi="宋体" w:cs="宋体"/>
                <w:color w:val="000000"/>
                <w:kern w:val="0"/>
                <w:sz w:val="24"/>
                <w:szCs w:val="24"/>
                <w:u w:val="none"/>
                <w:lang w:eastAsia="zh-CN"/>
              </w:rPr>
              <w:t>一年定期</w:t>
            </w:r>
            <w:r>
              <w:rPr>
                <w:rFonts w:ascii="宋体" w:hAnsi="宋体" w:cs="宋体"/>
                <w:color w:val="000000"/>
                <w:kern w:val="0"/>
                <w:sz w:val="24"/>
                <w:szCs w:val="24"/>
                <w:u w:val="none"/>
              </w:rPr>
              <w:t>存款利率（</w:t>
            </w:r>
            <w:r>
              <w:rPr>
                <w:rFonts w:hint="eastAsia" w:ascii="宋体" w:hAnsi="宋体" w:cs="宋体"/>
                <w:color w:val="000000"/>
                <w:kern w:val="0"/>
                <w:sz w:val="24"/>
                <w:szCs w:val="24"/>
                <w:u w:val="none"/>
                <w:lang w:val="en-US" w:eastAsia="zh-CN"/>
              </w:rPr>
              <w:t>1.50</w:t>
            </w:r>
            <w:r>
              <w:rPr>
                <w:rFonts w:ascii="宋体" w:hAnsi="宋体" w:cs="宋体"/>
                <w:color w:val="000000"/>
                <w:kern w:val="0"/>
                <w:sz w:val="24"/>
                <w:szCs w:val="24"/>
                <w:u w:val="none"/>
              </w:rPr>
              <w:t>%）+</w:t>
            </w:r>
            <w:r>
              <w:rPr>
                <w:rFonts w:hint="eastAsia" w:ascii="宋体" w:hAnsi="宋体" w:cs="宋体"/>
                <w:color w:val="000000"/>
                <w:kern w:val="0"/>
                <w:sz w:val="24"/>
                <w:szCs w:val="24"/>
                <w:u w:val="none"/>
                <w:lang w:eastAsia="zh-CN"/>
              </w:rPr>
              <w:t>（</w:t>
            </w:r>
            <w:r>
              <w:rPr>
                <w:rFonts w:hint="eastAsia" w:ascii="宋体" w:hAnsi="宋体" w:cs="宋体"/>
                <w:color w:val="000000"/>
                <w:kern w:val="0"/>
                <w:sz w:val="24"/>
                <w:szCs w:val="24"/>
                <w:u w:val="none"/>
                <w:lang w:val="en-US" w:eastAsia="zh-CN"/>
              </w:rPr>
              <w:t>0.20</w:t>
            </w:r>
            <w:r>
              <w:rPr>
                <w:rFonts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-1.20%）</w:t>
            </w: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1.70%-2.70</w:t>
            </w:r>
            <w:bookmarkStart w:id="8" w:name="_GoBack"/>
            <w:bookmarkEnd w:id="8"/>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u w:val="none"/>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color w:val="000000"/>
          <w:kern w:val="0"/>
          <w:sz w:val="15"/>
          <w:szCs w:val="15"/>
        </w:rPr>
      </w:pPr>
      <w:r>
        <w:rPr>
          <w:rFonts w:hint="eastAsia" w:ascii="宋体" w:hAnsi="宋体" w:cs="宋体"/>
          <w:color w:val="000000"/>
          <w:kern w:val="0"/>
          <w:sz w:val="15"/>
          <w:szCs w:val="15"/>
          <w:lang w:val="en-US" w:eastAsia="zh-CN"/>
        </w:rPr>
        <w:t>5</w:t>
      </w:r>
      <w:r>
        <w:rPr>
          <w:rFonts w:hint="eastAsia" w:ascii="宋体" w:hAnsi="宋体" w:eastAsia="宋体" w:cs="宋体"/>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w:pict>
          <v:rect id="矩形 17" o:spid="_x0000_s1026" o:spt="1" style="position:absolute;left:0pt;margin-left:58.85pt;margin-top:1.05pt;height:39.1pt;width:294.8pt;z-index:251659264;mso-width-relative:page;mso-height-relative:page;" fillcolor="#FFFFFF" filled="t" o:preferrelative="t" stroked="t" coordsize="21600,21600">
            <v:path/>
            <v:fill type="gradient" on="t" color2="#FFFFFF" colors="0f #FFFFFF;65536f #FFFFFF" angle="-90" focus="0%" focussize="0f,0f" focusposition="0f,0f"/>
            <v:stroke color="#000000" color2="#FFFFFF" miterlimit="2"/>
            <v:imagedata gain="65536f" blacklevel="0f" gamma="0" o:title=""/>
            <o:lock v:ext="edit" position="f" selection="f" grouping="f" rotation="f" cropping="f" text="f" aspectratio="f"/>
            <v:textbox>
              <w:txbxContent>
                <w:p>
                  <w:r>
                    <w:rPr>
                      <w:rFonts w:hint="eastAsia" w:ascii="仿宋_GB2312" w:hAnsi="Arial" w:eastAsia="仿宋_GB2312" w:cs="Arial"/>
                      <w:b/>
                      <w:sz w:val="32"/>
                      <w:szCs w:val="32"/>
                    </w:rPr>
                    <w:t>理财非存款、产品有风险、投资须谨慎！</w:t>
                  </w:r>
                </w:p>
              </w:txbxContent>
            </v:textbox>
          </v:rect>
        </w:pic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w:t>
      </w:r>
      <w:r>
        <w:rPr>
          <w:rFonts w:hint="eastAsia" w:ascii="方正大标宋简体" w:hAnsi="宋体" w:eastAsia="方正大标宋简体"/>
          <w:b/>
          <w:color w:val="000000"/>
          <w:sz w:val="36"/>
          <w:u w:val="single"/>
          <w:lang w:val="en-US" w:eastAsia="zh-CN"/>
        </w:rPr>
        <w:t>B</w:t>
      </w:r>
      <w:r>
        <w:rPr>
          <w:rFonts w:hint="eastAsia" w:ascii="方正大标宋简体" w:hAnsi="宋体" w:eastAsia="方正大标宋简体"/>
          <w:b/>
          <w:color w:val="000000"/>
          <w:sz w:val="36"/>
          <w:u w:val="single"/>
        </w:rPr>
        <w:t>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w:t>
            </w:r>
            <w:r>
              <w:rPr>
                <w:rFonts w:hint="eastAsia" w:eastAsia="楷体_GB2312"/>
                <w:color w:val="000000"/>
                <w:u w:val="single"/>
                <w:lang w:val="en-US" w:eastAsia="zh-CN"/>
              </w:rPr>
              <w:t>B</w:t>
            </w:r>
            <w:r>
              <w:rPr>
                <w:rFonts w:hint="eastAsia" w:eastAsia="楷体_GB2312"/>
                <w:color w:val="000000"/>
                <w:u w:val="single"/>
              </w:rPr>
              <w:t>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hint="eastAsia" w:ascii="Times New Roman" w:hAnsi="Times New Roman" w:eastAsia="楷体_GB2312"/>
                <w:color w:val="000000"/>
              </w:rPr>
            </w:pPr>
            <w:r>
              <w:rPr>
                <w:rFonts w:hint="eastAsia" w:ascii="Times New Roman" w:hAnsi="Times New Roman" w:eastAsia="楷体_GB2312"/>
                <w:color w:val="000000"/>
              </w:rPr>
              <w:t>C1115421000017</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lang w:val="en-US" w:eastAsia="zh-CN"/>
              </w:rPr>
              <w:t>B</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eastAsia="楷体_GB2312"/>
                <w:color w:val="000000"/>
              </w:rPr>
            </w:pPr>
            <w:r>
              <w:rPr>
                <w:rFonts w:hint="eastAsia" w:eastAsia="楷体_GB2312"/>
                <w:color w:val="000000"/>
              </w:rPr>
              <w:t>认购期及开放期内业绩比较基准详见</w:t>
            </w:r>
            <w:r>
              <w:rPr>
                <w:rFonts w:hint="eastAsia" w:eastAsia="楷体_GB2312"/>
                <w:lang w:eastAsia="zh-CN"/>
              </w:rPr>
              <w:t>常熟农商银行发布的公告</w:t>
            </w:r>
            <w:r>
              <w:rPr>
                <w:rFonts w:hint="eastAsia" w:eastAsia="楷体_GB2312"/>
                <w:color w:val="000000"/>
              </w:rPr>
              <w:t>。</w:t>
            </w:r>
          </w:p>
          <w:p>
            <w:pPr>
              <w:widowControl w:val="0"/>
              <w:wordWrap/>
              <w:adjustRightInd/>
              <w:snapToGrid/>
              <w:spacing w:beforeLines="0" w:afterLines="0" w:line="360" w:lineRule="exact"/>
              <w:ind w:left="0" w:leftChars="0" w:right="0" w:firstLine="0" w:firstLineChars="0"/>
              <w:jc w:val="both"/>
              <w:textAlignment w:val="auto"/>
              <w:outlineLvl w:val="9"/>
              <w:rPr>
                <w:rFonts w:hint="eastAsia" w:ascii="Times New Roman" w:hAnsi="Times New Roman" w:eastAsia="楷体_GB2312" w:cs="Times New Roman"/>
                <w:color w:val="000000"/>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color w:val="000000"/>
                <w:lang w:eastAsia="zh-CN"/>
              </w:rPr>
              <w:t>本产品拟投资资产的比例为</w:t>
            </w:r>
            <w:r>
              <w:rPr>
                <w:rFonts w:hint="eastAsia" w:ascii="Times New Roman" w:hAnsi="Times New Roman" w:eastAsia="楷体_GB2312"/>
                <w:color w:val="000000"/>
              </w:rPr>
              <w:t>存款、货币基金等现金类资产</w:t>
            </w:r>
            <w:r>
              <w:rPr>
                <w:rFonts w:hint="eastAsia" w:ascii="Times New Roman" w:hAnsi="Times New Roman" w:eastAsia="楷体_GB2312"/>
                <w:b w:val="0"/>
                <w:bCs w:val="0"/>
                <w:color w:val="000000"/>
              </w:rPr>
              <w:t xml:space="preserve"> 0-30%</w:t>
            </w:r>
            <w:r>
              <w:rPr>
                <w:rFonts w:hint="eastAsia" w:ascii="Times New Roman" w:hAnsi="Times New Roman" w:eastAsia="楷体_GB2312"/>
                <w:color w:val="000000"/>
              </w:rPr>
              <w:t>，债券资产、同业存单、同业拆借、回购、债券基金</w:t>
            </w:r>
            <w:r>
              <w:rPr>
                <w:rFonts w:hint="eastAsia" w:ascii="Times New Roman" w:hAnsi="Times New Roman" w:eastAsia="楷体_GB2312"/>
                <w:b w:val="0"/>
                <w:bCs w:val="0"/>
                <w:color w:val="000000"/>
              </w:rPr>
              <w:t>30-100%</w:t>
            </w:r>
            <w:r>
              <w:rPr>
                <w:rFonts w:hint="eastAsia" w:ascii="Times New Roman" w:hAnsi="Times New Roman" w:eastAsia="楷体_GB2312"/>
                <w:color w:val="000000"/>
              </w:rPr>
              <w:t>，同业借款、理财直融工具、债权融资计划及其他符合监管要求的债权类资产</w:t>
            </w:r>
            <w:r>
              <w:rPr>
                <w:rFonts w:hint="eastAsia" w:ascii="Times New Roman" w:hAnsi="Times New Roman" w:eastAsia="楷体_GB2312"/>
                <w:b w:val="0"/>
                <w:bCs w:val="0"/>
                <w:color w:val="000000"/>
              </w:rPr>
              <w:t>0-</w:t>
            </w:r>
            <w:r>
              <w:rPr>
                <w:rFonts w:hint="eastAsia" w:ascii="Times New Roman" w:hAnsi="Times New Roman" w:eastAsia="楷体_GB2312"/>
                <w:b w:val="0"/>
                <w:bCs w:val="0"/>
                <w:color w:val="000000"/>
                <w:lang w:val="en-US" w:eastAsia="zh-CN"/>
              </w:rPr>
              <w:t>5</w:t>
            </w:r>
            <w:r>
              <w:rPr>
                <w:rFonts w:hint="eastAsia" w:ascii="Times New Roman" w:hAnsi="Times New Roman" w:eastAsia="楷体_GB2312"/>
                <w:b w:val="0"/>
                <w:bCs w:val="0"/>
                <w:color w:val="000000"/>
              </w:rPr>
              <w:t>0%</w:t>
            </w:r>
            <w:r>
              <w:rPr>
                <w:rFonts w:hint="eastAsia" w:ascii="Times New Roman" w:hAnsi="Times New Roman" w:eastAsia="楷体_GB2312"/>
                <w:color w:val="000000"/>
              </w:rPr>
              <w:t>，股票型基金、混合型基金等权益类资产，以及金融衍生品等</w:t>
            </w:r>
            <w:r>
              <w:rPr>
                <w:rFonts w:hint="eastAsia" w:ascii="Times New Roman" w:hAnsi="Times New Roman" w:eastAsia="楷体_GB2312"/>
                <w:b w:val="0"/>
                <w:bCs w:val="0"/>
                <w:color w:val="000000"/>
              </w:rPr>
              <w:t>0-20%</w:t>
            </w:r>
            <w:r>
              <w:rPr>
                <w:rFonts w:hint="eastAsia" w:ascii="Times New Roman" w:hAnsi="Times New Roman" w:eastAsia="楷体_GB2312" w:cs="Times New Roman"/>
                <w:color w:val="000000"/>
                <w:lang w:eastAsia="zh-CN"/>
              </w:rPr>
              <w:t>，杠杆率不超</w:t>
            </w:r>
            <w:r>
              <w:rPr>
                <w:rFonts w:hint="eastAsia" w:ascii="Times New Roman" w:hAnsi="Times New Roman" w:eastAsia="楷体_GB2312" w:cs="Times New Roman"/>
                <w:color w:val="000000"/>
                <w:lang w:val="en-US" w:eastAsia="zh-CN"/>
              </w:rPr>
              <w:t>140%，业绩比较基准参考市场利率水平和中国人民银行最新公布的金融机构人民币一年期定期存款基准利率水平，考虑拟投资资产的市场价格表现、波动幅度、在投资组合中的占比，预判在扣除固定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11</w:t>
            </w:r>
            <w:r>
              <w:rPr>
                <w:rFonts w:hint="eastAsia" w:eastAsia="楷体_GB2312"/>
                <w:b/>
                <w:color w:val="000000"/>
                <w:szCs w:val="21"/>
                <w:u w:val="single"/>
              </w:rPr>
              <w:t>日</w:t>
            </w:r>
            <w:r>
              <w:rPr>
                <w:rFonts w:hint="eastAsia" w:eastAsia="楷体_GB2312"/>
                <w:b/>
                <w:color w:val="000000"/>
                <w:u w:val="single"/>
              </w:rPr>
              <w:t>8:30至</w:t>
            </w: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17</w:t>
            </w:r>
            <w:r>
              <w:rPr>
                <w:rFonts w:hint="eastAsia" w:eastAsia="楷体_GB2312"/>
                <w:b/>
                <w:color w:val="000000"/>
                <w:szCs w:val="21"/>
                <w:u w:val="single"/>
              </w:rPr>
              <w:t>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w:t>
            </w:r>
            <w:r>
              <w:rPr>
                <w:rFonts w:hint="eastAsia" w:eastAsia="楷体_GB2312"/>
                <w:b/>
                <w:bCs/>
                <w:color w:val="000000"/>
                <w:lang w:val="en-US" w:eastAsia="zh-CN"/>
              </w:rPr>
              <w:t>11</w:t>
            </w:r>
            <w:r>
              <w:rPr>
                <w:rFonts w:hint="eastAsia" w:eastAsia="楷体_GB2312"/>
                <w:b/>
                <w:bCs/>
                <w:color w:val="000000"/>
              </w:rPr>
              <w:t>月</w:t>
            </w:r>
            <w:r>
              <w:rPr>
                <w:rFonts w:hint="eastAsia" w:eastAsia="楷体_GB2312"/>
                <w:b/>
                <w:bCs/>
                <w:color w:val="000000"/>
                <w:lang w:val="en-US" w:eastAsia="zh-CN"/>
              </w:rPr>
              <w:t>18</w:t>
            </w:r>
            <w:r>
              <w:rPr>
                <w:rFonts w:hint="eastAsia" w:eastAsia="楷体_GB2312"/>
                <w:b/>
                <w:bCs/>
                <w:color w:val="000000"/>
              </w:rPr>
              <w:t>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b/>
                <w:bCs/>
                <w:color w:val="000000"/>
              </w:rPr>
            </w:pPr>
            <w:r>
              <w:rPr>
                <w:rFonts w:hint="eastAsia" w:ascii="楷体_GB2312" w:hAnsi="Times New Roman" w:eastAsia="楷体_GB2312"/>
                <w:b/>
                <w:bCs/>
                <w:color w:val="000000"/>
              </w:rPr>
              <w:t>认购费：</w:t>
            </w:r>
            <w:r>
              <w:rPr>
                <w:rFonts w:ascii="楷体_GB2312" w:hAnsi="Times New Roman" w:eastAsia="楷体_GB2312"/>
                <w:b/>
                <w:bCs/>
                <w:color w:val="000000"/>
                <w:u w:val="single"/>
              </w:rPr>
              <w:t>0%/</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w:t>
            </w:r>
          </w:p>
          <w:p>
            <w:pPr>
              <w:numPr>
                <w:ilvl w:val="0"/>
                <w:numId w:val="1"/>
              </w:numPr>
              <w:snapToGrid w:val="0"/>
              <w:spacing w:line="360" w:lineRule="exact"/>
              <w:rPr>
                <w:rFonts w:ascii="楷体_GB2312" w:hAnsi="Times New Roman" w:eastAsia="楷体_GB2312"/>
                <w:b/>
                <w:bCs/>
                <w:color w:val="000000"/>
              </w:rPr>
            </w:pPr>
            <w:r>
              <w:rPr>
                <w:rFonts w:hint="eastAsia" w:ascii="楷体_GB2312" w:hAnsi="Times New Roman" w:eastAsia="楷体_GB2312"/>
                <w:b/>
                <w:bCs/>
                <w:color w:val="000000"/>
              </w:rPr>
              <w:t>申购费</w:t>
            </w:r>
            <w:r>
              <w:rPr>
                <w:rFonts w:hint="eastAsia" w:ascii="楷体_GB2312" w:hAnsi="Times New Roman" w:eastAsia="楷体_GB2312"/>
                <w:b/>
                <w:bCs/>
                <w:color w:val="000000"/>
                <w:u w:val="single"/>
              </w:rPr>
              <w:t>：</w:t>
            </w:r>
            <w:r>
              <w:rPr>
                <w:rFonts w:ascii="楷体_GB2312" w:hAnsi="Times New Roman" w:eastAsia="楷体_GB2312"/>
                <w:b/>
                <w:bCs/>
                <w:color w:val="000000"/>
                <w:u w:val="single"/>
              </w:rPr>
              <w:t>0%/</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w:t>
            </w:r>
          </w:p>
          <w:p>
            <w:pPr>
              <w:numPr>
                <w:ilvl w:val="0"/>
                <w:numId w:val="1"/>
              </w:numPr>
              <w:snapToGrid w:val="0"/>
              <w:spacing w:line="360" w:lineRule="exact"/>
              <w:rPr>
                <w:rFonts w:ascii="楷体_GB2312" w:hAnsi="Times New Roman" w:eastAsia="楷体_GB2312"/>
                <w:b/>
                <w:bCs/>
                <w:color w:val="000000"/>
              </w:rPr>
            </w:pPr>
            <w:r>
              <w:rPr>
                <w:rFonts w:hint="eastAsia" w:ascii="楷体_GB2312" w:hAnsi="Times New Roman" w:eastAsia="楷体_GB2312"/>
                <w:b/>
                <w:bCs/>
                <w:color w:val="000000"/>
              </w:rPr>
              <w:t>赎回费：</w:t>
            </w:r>
            <w:r>
              <w:rPr>
                <w:rFonts w:ascii="楷体_GB2312" w:hAnsi="Times New Roman" w:eastAsia="楷体_GB2312"/>
                <w:b/>
                <w:bCs/>
                <w:color w:val="000000"/>
                <w:u w:val="single"/>
              </w:rPr>
              <w:t>0%/</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w:t>
            </w:r>
          </w:p>
          <w:p>
            <w:pPr>
              <w:numPr>
                <w:ilvl w:val="0"/>
                <w:numId w:val="1"/>
              </w:numPr>
              <w:snapToGrid w:val="0"/>
              <w:spacing w:line="360" w:lineRule="exact"/>
              <w:rPr>
                <w:rFonts w:ascii="楷体_GB2312" w:hAnsi="Times New Roman" w:eastAsia="楷体_GB2312"/>
                <w:b/>
                <w:bCs/>
                <w:color w:val="000000"/>
              </w:rPr>
            </w:pPr>
            <w:r>
              <w:rPr>
                <w:rFonts w:hint="eastAsia" w:ascii="楷体_GB2312" w:hAnsi="Times New Roman" w:eastAsia="楷体_GB2312"/>
                <w:b/>
                <w:bCs/>
                <w:color w:val="000000"/>
                <w:lang w:val="en-US" w:eastAsia="zh-CN"/>
              </w:rPr>
              <w:t>固定</w:t>
            </w:r>
            <w:r>
              <w:rPr>
                <w:rFonts w:hint="eastAsia" w:ascii="楷体_GB2312" w:hAnsi="Times New Roman" w:eastAsia="楷体_GB2312"/>
                <w:b/>
                <w:bCs/>
                <w:color w:val="000000"/>
              </w:rPr>
              <w:t>管理费、托管费：</w:t>
            </w:r>
          </w:p>
          <w:p>
            <w:pPr>
              <w:spacing w:line="360" w:lineRule="exact"/>
              <w:rPr>
                <w:rFonts w:ascii="楷体_GB2312" w:eastAsia="楷体_GB2312"/>
                <w:b/>
                <w:bCs/>
                <w:color w:val="000000"/>
              </w:rPr>
            </w:pPr>
            <w:r>
              <w:rPr>
                <w:rFonts w:hint="eastAsia" w:ascii="楷体_GB2312" w:hAnsi="Times New Roman" w:eastAsia="楷体_GB2312"/>
                <w:b/>
                <w:bCs/>
                <w:color w:val="000000"/>
              </w:rPr>
              <w:t>本产品按照资产净值的</w:t>
            </w:r>
            <w:r>
              <w:rPr>
                <w:rFonts w:ascii="楷体_GB2312" w:hAnsi="Times New Roman" w:eastAsia="楷体_GB2312"/>
                <w:b/>
                <w:bCs/>
                <w:color w:val="000000"/>
                <w:u w:val="single"/>
              </w:rPr>
              <w:t>0.</w:t>
            </w:r>
            <w:r>
              <w:rPr>
                <w:rFonts w:hint="eastAsia" w:ascii="楷体_GB2312" w:hAnsi="Times New Roman" w:eastAsia="楷体_GB2312"/>
                <w:b/>
                <w:bCs/>
                <w:color w:val="000000"/>
                <w:u w:val="single"/>
                <w:lang w:val="en-US" w:eastAsia="zh-CN"/>
              </w:rPr>
              <w:t>1</w:t>
            </w:r>
            <w:r>
              <w:rPr>
                <w:rFonts w:ascii="楷体_GB2312" w:hAnsi="Times New Roman" w:eastAsia="楷体_GB2312"/>
                <w:b/>
                <w:bCs/>
                <w:color w:val="000000"/>
                <w:u w:val="single"/>
              </w:rPr>
              <w:t>%/</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提取固定管理费</w:t>
            </w:r>
            <w:r>
              <w:rPr>
                <w:rFonts w:hint="eastAsia" w:ascii="楷体_GB2312" w:eastAsia="楷体_GB2312"/>
                <w:b/>
                <w:bCs/>
                <w:color w:val="000000"/>
              </w:rPr>
              <w:t>。</w:t>
            </w:r>
          </w:p>
          <w:p>
            <w:pPr>
              <w:spacing w:line="360" w:lineRule="exact"/>
              <w:rPr>
                <w:rFonts w:ascii="楷体_GB2312" w:hAnsi="Times New Roman" w:eastAsia="楷体_GB2312"/>
                <w:b/>
                <w:bCs/>
                <w:color w:val="000000"/>
              </w:rPr>
            </w:pPr>
            <w:r>
              <w:rPr>
                <w:rFonts w:hint="eastAsia" w:ascii="楷体_GB2312" w:hAnsi="Times New Roman" w:eastAsia="楷体_GB2312"/>
                <w:b/>
                <w:bCs/>
                <w:color w:val="000000"/>
              </w:rPr>
              <w:t>每日计提的固定管理费</w:t>
            </w:r>
            <w:r>
              <w:rPr>
                <w:rFonts w:ascii="楷体_GB2312" w:hAnsi="Times New Roman" w:eastAsia="楷体_GB2312"/>
                <w:b/>
                <w:bCs/>
                <w:color w:val="000000"/>
              </w:rPr>
              <w:t>=</w:t>
            </w:r>
            <w:r>
              <w:rPr>
                <w:rFonts w:hint="eastAsia" w:ascii="楷体_GB2312" w:hAnsi="Times New Roman" w:eastAsia="楷体_GB2312"/>
                <w:b/>
                <w:bCs/>
                <w:color w:val="000000"/>
              </w:rPr>
              <w:t>每日资产净值×</w:t>
            </w:r>
            <w:r>
              <w:rPr>
                <w:rFonts w:ascii="楷体_GB2312" w:hAnsi="Times New Roman" w:eastAsia="楷体_GB2312"/>
                <w:b/>
                <w:bCs/>
                <w:color w:val="000000"/>
                <w:u w:val="single"/>
              </w:rPr>
              <w:t>0.</w:t>
            </w:r>
            <w:r>
              <w:rPr>
                <w:rFonts w:hint="eastAsia" w:ascii="楷体_GB2312" w:hAnsi="Times New Roman" w:eastAsia="楷体_GB2312"/>
                <w:b/>
                <w:bCs/>
                <w:color w:val="000000"/>
                <w:u w:val="single"/>
                <w:lang w:val="en-US" w:eastAsia="zh-CN"/>
              </w:rPr>
              <w:t>1</w:t>
            </w:r>
            <w:r>
              <w:rPr>
                <w:rFonts w:ascii="楷体_GB2312" w:hAnsi="Times New Roman" w:eastAsia="楷体_GB2312"/>
                <w:b/>
                <w:bCs/>
                <w:color w:val="000000"/>
              </w:rPr>
              <w:t>%</w:t>
            </w:r>
            <w:r>
              <w:rPr>
                <w:rFonts w:hint="eastAsia" w:ascii="楷体_GB2312" w:hAnsi="Times New Roman" w:eastAsia="楷体_GB2312"/>
                <w:b/>
                <w:bCs/>
                <w:color w:val="000000"/>
              </w:rPr>
              <w:t>／</w:t>
            </w:r>
            <w:r>
              <w:rPr>
                <w:rFonts w:ascii="楷体_GB2312" w:hAnsi="Times New Roman" w:eastAsia="楷体_GB2312"/>
                <w:b/>
                <w:bCs/>
                <w:color w:val="000000"/>
              </w:rPr>
              <w:t>365</w:t>
            </w:r>
          </w:p>
          <w:p>
            <w:pPr>
              <w:spacing w:line="360" w:lineRule="exact"/>
              <w:rPr>
                <w:rFonts w:ascii="楷体_GB2312" w:hAnsi="Times New Roman" w:eastAsia="楷体_GB2312"/>
                <w:b/>
                <w:bCs/>
                <w:color w:val="000000"/>
              </w:rPr>
            </w:pPr>
            <w:r>
              <w:rPr>
                <w:rFonts w:hint="eastAsia" w:ascii="楷体_GB2312" w:hAnsi="Times New Roman" w:eastAsia="楷体_GB2312"/>
                <w:b/>
                <w:bCs/>
                <w:color w:val="000000"/>
              </w:rPr>
              <w:t>本产品按照资产净值的</w:t>
            </w:r>
            <w:r>
              <w:rPr>
                <w:rFonts w:ascii="楷体_GB2312" w:hAnsi="Times New Roman" w:eastAsia="楷体_GB2312"/>
                <w:b/>
                <w:bCs/>
                <w:color w:val="000000"/>
                <w:u w:val="single"/>
              </w:rPr>
              <w:t>0.01%/</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提取托管费。</w:t>
            </w:r>
          </w:p>
          <w:p>
            <w:pPr>
              <w:spacing w:line="360" w:lineRule="exact"/>
              <w:rPr>
                <w:rFonts w:ascii="楷体_GB2312" w:hAnsi="Times New Roman" w:eastAsia="楷体_GB2312"/>
                <w:b/>
                <w:bCs/>
                <w:color w:val="000000"/>
              </w:rPr>
            </w:pPr>
            <w:r>
              <w:rPr>
                <w:rFonts w:hint="eastAsia" w:ascii="楷体_GB2312" w:hAnsi="Times New Roman" w:eastAsia="楷体_GB2312"/>
                <w:b/>
                <w:bCs/>
                <w:color w:val="000000"/>
              </w:rPr>
              <w:t>每日计提的托管费</w:t>
            </w:r>
            <w:r>
              <w:rPr>
                <w:rFonts w:ascii="楷体_GB2312" w:hAnsi="Times New Roman" w:eastAsia="楷体_GB2312"/>
                <w:b/>
                <w:bCs/>
                <w:color w:val="000000"/>
              </w:rPr>
              <w:t>=</w:t>
            </w:r>
            <w:r>
              <w:rPr>
                <w:rFonts w:hint="eastAsia" w:ascii="楷体_GB2312" w:hAnsi="Times New Roman" w:eastAsia="楷体_GB2312"/>
                <w:b/>
                <w:bCs/>
                <w:color w:val="000000"/>
              </w:rPr>
              <w:t>每日资产净值×</w:t>
            </w:r>
            <w:r>
              <w:rPr>
                <w:rFonts w:ascii="楷体_GB2312" w:hAnsi="Times New Roman" w:eastAsia="楷体_GB2312"/>
                <w:b/>
                <w:bCs/>
                <w:color w:val="000000"/>
                <w:u w:val="single"/>
              </w:rPr>
              <w:t>0.01</w:t>
            </w:r>
            <w:r>
              <w:rPr>
                <w:rFonts w:ascii="楷体_GB2312" w:hAnsi="Times New Roman" w:eastAsia="楷体_GB2312"/>
                <w:b/>
                <w:bCs/>
                <w:color w:val="000000"/>
              </w:rPr>
              <w:t>%</w:t>
            </w:r>
            <w:r>
              <w:rPr>
                <w:rFonts w:hint="eastAsia" w:ascii="楷体_GB2312" w:hAnsi="Times New Roman" w:eastAsia="楷体_GB2312"/>
                <w:b/>
                <w:bCs/>
                <w:color w:val="000000"/>
              </w:rPr>
              <w:t>／</w:t>
            </w:r>
            <w:r>
              <w:rPr>
                <w:rFonts w:ascii="楷体_GB2312" w:hAnsi="Times New Roman" w:eastAsia="楷体_GB2312"/>
                <w:b/>
                <w:bCs/>
                <w:color w:val="000000"/>
              </w:rPr>
              <w:t>365</w:t>
            </w:r>
          </w:p>
          <w:p>
            <w:pPr>
              <w:spacing w:line="360" w:lineRule="exact"/>
              <w:rPr>
                <w:rFonts w:hint="eastAsia" w:ascii="楷体_GB2312" w:hAnsi="Times New Roman" w:eastAsia="楷体_GB2312"/>
                <w:b/>
                <w:bCs/>
                <w:color w:val="000000"/>
              </w:rPr>
            </w:pPr>
            <w:r>
              <w:rPr>
                <w:rFonts w:hint="eastAsia" w:ascii="楷体_GB2312" w:hAnsi="Times New Roman" w:eastAsia="楷体_GB2312"/>
                <w:b/>
                <w:bCs/>
                <w:color w:val="000000"/>
              </w:rPr>
              <w:t>产品固定管理费、托管费每日计提</w:t>
            </w:r>
            <w:r>
              <w:rPr>
                <w:rFonts w:hint="eastAsia"/>
                <w:b/>
                <w:bCs/>
                <w:color w:val="000000"/>
              </w:rPr>
              <w:t>，</w:t>
            </w:r>
            <w:r>
              <w:rPr>
                <w:rFonts w:hint="eastAsia" w:ascii="楷体_GB2312" w:hAnsi="Times New Roman" w:eastAsia="楷体_GB2312"/>
                <w:b/>
                <w:bCs/>
                <w:color w:val="000000"/>
              </w:rPr>
              <w:t>管理人有权根据实际情况自行提取固定管理费。</w:t>
            </w:r>
          </w:p>
          <w:p>
            <w:pPr>
              <w:spacing w:line="360" w:lineRule="exact"/>
              <w:rPr>
                <w:rFonts w:ascii="楷体_GB2312" w:hAnsi="Times New Roman" w:eastAsia="楷体_GB2312"/>
                <w:b/>
                <w:bCs/>
                <w:color w:val="000000"/>
              </w:rPr>
            </w:pPr>
            <w:r>
              <w:rPr>
                <w:rFonts w:hint="eastAsia" w:ascii="楷体_GB2312" w:hAnsi="Times New Roman" w:eastAsia="楷体_GB2312"/>
                <w:b/>
                <w:bCs/>
                <w:lang w:val="en-US" w:eastAsia="zh-CN"/>
              </w:rPr>
              <w:t>5、</w:t>
            </w:r>
            <w:r>
              <w:rPr>
                <w:rFonts w:hint="eastAsia" w:eastAsia="楷体_GB2312"/>
                <w:b/>
                <w:bCs/>
                <w:lang w:val="en-US" w:eastAsia="zh-CN"/>
              </w:rPr>
              <w:t>超额</w:t>
            </w:r>
            <w:r>
              <w:rPr>
                <w:rFonts w:hint="eastAsia" w:eastAsia="楷体_GB2312"/>
                <w:b/>
                <w:bCs/>
              </w:rPr>
              <w:t>业绩报酬：如产品收益（扣除固定管理费</w:t>
            </w:r>
            <w:r>
              <w:rPr>
                <w:rFonts w:hint="eastAsia" w:eastAsia="楷体_GB2312"/>
                <w:b/>
                <w:bCs/>
                <w:lang w:eastAsia="zh-CN"/>
              </w:rPr>
              <w:t>、</w:t>
            </w:r>
            <w:r>
              <w:rPr>
                <w:rFonts w:hint="eastAsia" w:eastAsia="楷体_GB2312"/>
                <w:b/>
                <w:bCs/>
              </w:rPr>
              <w:t>托管费等相关费用）超过业绩</w:t>
            </w:r>
            <w:r>
              <w:rPr>
                <w:rFonts w:hint="eastAsia" w:eastAsia="楷体_GB2312"/>
                <w:b/>
                <w:bCs/>
                <w:lang w:val="en-US" w:eastAsia="zh-CN"/>
              </w:rPr>
              <w:t>比较</w:t>
            </w:r>
            <w:r>
              <w:rPr>
                <w:rFonts w:hint="eastAsia" w:eastAsia="楷体_GB2312"/>
                <w:b/>
                <w:bCs/>
              </w:rPr>
              <w:t>基准</w:t>
            </w:r>
            <w:r>
              <w:rPr>
                <w:rFonts w:hint="eastAsia" w:eastAsia="楷体_GB2312"/>
                <w:b/>
                <w:bCs/>
                <w:lang w:eastAsia="zh-CN"/>
              </w:rPr>
              <w:t>下限</w:t>
            </w:r>
            <w:r>
              <w:rPr>
                <w:rFonts w:hint="eastAsia" w:eastAsia="楷体_GB2312"/>
                <w:b/>
                <w:bCs/>
                <w:lang w:val="en-US" w:eastAsia="zh-CN"/>
              </w:rPr>
              <w:t>的</w:t>
            </w:r>
            <w:r>
              <w:rPr>
                <w:rFonts w:hint="eastAsia" w:eastAsia="楷体_GB2312"/>
                <w:b/>
                <w:bCs/>
              </w:rPr>
              <w:t>，</w:t>
            </w:r>
            <w:r>
              <w:rPr>
                <w:rFonts w:hint="eastAsia" w:ascii="Times New Roman" w:hAnsi="Times New Roman" w:eastAsia="楷体_GB2312"/>
                <w:b/>
                <w:bCs/>
              </w:rPr>
              <w:t>超</w:t>
            </w:r>
            <w:r>
              <w:rPr>
                <w:rFonts w:hint="eastAsia" w:ascii="Times New Roman" w:hAnsi="Times New Roman" w:eastAsia="楷体_GB2312"/>
                <w:b/>
                <w:bCs/>
                <w:lang w:val="en-US" w:eastAsia="zh-CN"/>
              </w:rPr>
              <w:t>过</w:t>
            </w:r>
            <w:r>
              <w:rPr>
                <w:rFonts w:hint="eastAsia" w:ascii="Times New Roman" w:hAnsi="Times New Roman" w:eastAsia="楷体_GB2312"/>
                <w:b/>
                <w:bCs/>
              </w:rPr>
              <w:t>部分的8</w:t>
            </w:r>
            <w:r>
              <w:rPr>
                <w:rFonts w:ascii="Times New Roman" w:hAnsi="Times New Roman" w:eastAsia="楷体_GB2312"/>
                <w:b/>
                <w:bCs/>
              </w:rPr>
              <w:t>0</w:t>
            </w:r>
            <w:r>
              <w:rPr>
                <w:rFonts w:hint="eastAsia" w:ascii="Times New Roman" w:hAnsi="Times New Roman" w:eastAsia="楷体_GB2312"/>
                <w:b/>
                <w:bCs/>
              </w:rPr>
              <w:t>%作为</w:t>
            </w:r>
            <w:r>
              <w:rPr>
                <w:rFonts w:hint="eastAsia" w:ascii="Times New Roman" w:hAnsi="Times New Roman" w:eastAsia="楷体_GB2312"/>
                <w:b/>
                <w:bCs/>
                <w:lang w:val="en-US" w:eastAsia="zh-CN"/>
              </w:rPr>
              <w:t>超额</w:t>
            </w:r>
            <w:r>
              <w:rPr>
                <w:rFonts w:hint="eastAsia" w:ascii="Times New Roman" w:hAnsi="Times New Roman" w:eastAsia="楷体_GB2312"/>
                <w:b/>
                <w:bCs/>
              </w:rPr>
              <w:t>业绩报酬由管理人收取</w:t>
            </w:r>
            <w:r>
              <w:rPr>
                <w:rFonts w:hint="eastAsia" w:ascii="Times New Roman" w:hAnsi="Times New Roman" w:eastAsia="楷体_GB2312"/>
                <w:b/>
                <w:bCs/>
                <w:lang w:eastAsia="zh-CN"/>
              </w:rPr>
              <w:t>，</w:t>
            </w:r>
            <w:r>
              <w:rPr>
                <w:rFonts w:hint="eastAsia" w:ascii="Times New Roman" w:hAnsi="Times New Roman" w:eastAsia="楷体_GB2312"/>
                <w:b/>
                <w:bCs/>
                <w:lang w:val="en-US" w:eastAsia="zh-CN"/>
              </w:rPr>
              <w:t>其余20%归投资者所有。</w:t>
            </w:r>
          </w:p>
          <w:p>
            <w:pPr>
              <w:spacing w:line="360" w:lineRule="exact"/>
              <w:rPr>
                <w:rFonts w:ascii="Times New Roman" w:hAnsi="Times New Roman" w:eastAsia="楷体_GB2312"/>
                <w:color w:val="000000"/>
              </w:rPr>
            </w:pPr>
            <w:r>
              <w:rPr>
                <w:rFonts w:hint="eastAsia" w:ascii="楷体_GB2312" w:hAnsi="Times New Roman" w:eastAsia="楷体_GB2312"/>
                <w:color w:val="000000"/>
                <w:lang w:val="en-US" w:eastAsia="zh-CN"/>
              </w:rPr>
              <w:t>6、</w:t>
            </w:r>
            <w:r>
              <w:rPr>
                <w:rFonts w:hint="eastAsia" w:ascii="楷体_GB2312" w:hAnsi="Times New Roman" w:eastAsia="楷体_GB2312"/>
                <w:color w:val="000000"/>
              </w:rPr>
              <w:t>其他费用详见本产品说明书第三部分“产品的相关费用及收益与分配”。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w:t>
      </w:r>
      <w:r>
        <w:rPr>
          <w:rFonts w:hint="eastAsia" w:eastAsia="楷体_GB2312"/>
          <w:color w:val="000000"/>
          <w:lang w:val="en-US" w:eastAsia="zh-CN"/>
        </w:rPr>
        <w:t>11</w:t>
      </w:r>
      <w:r>
        <w:rPr>
          <w:rFonts w:hint="eastAsia" w:eastAsia="楷体_GB2312"/>
          <w:color w:val="000000"/>
        </w:rPr>
        <w:t>月</w:t>
      </w:r>
      <w:r>
        <w:rPr>
          <w:rFonts w:hint="eastAsia" w:eastAsia="楷体_GB2312"/>
          <w:color w:val="000000"/>
          <w:lang w:val="en-US" w:eastAsia="zh-CN"/>
        </w:rPr>
        <w:t>18</w:t>
      </w:r>
      <w:r>
        <w:rPr>
          <w:rFonts w:hint="eastAsia" w:eastAsia="楷体_GB2312"/>
          <w:color w:val="000000"/>
        </w:rPr>
        <w:t>日起开放申购，正常情况下每周开放，具体发行</w:t>
      </w:r>
      <w:r>
        <w:rPr>
          <w:rFonts w:hint="eastAsia" w:eastAsia="楷体_GB2312"/>
          <w:lang w:eastAsia="zh-CN"/>
        </w:rPr>
        <w:t>详见常熟农商银行各理财销售渠道</w:t>
      </w:r>
      <w:r>
        <w:rPr>
          <w:rFonts w:hint="eastAsia" w:eastAsia="楷体_GB2312"/>
          <w:color w:val="000000"/>
        </w:rPr>
        <w:t>：</w:t>
      </w:r>
    </w:p>
    <w:tbl>
      <w:tblPr>
        <w:tblStyle w:val="12"/>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w:t>
            </w:r>
            <w:r>
              <w:rPr>
                <w:rFonts w:hint="eastAsia" w:eastAsia="楷体_GB2312"/>
                <w:color w:val="000000"/>
                <w:lang w:val="en-US" w:eastAsia="zh-CN"/>
              </w:rPr>
              <w:t>B</w:t>
            </w:r>
            <w:r>
              <w:rPr>
                <w:rFonts w:hint="eastAsia" w:eastAsia="楷体_GB2312"/>
                <w:color w:val="000000"/>
              </w:rPr>
              <w:t>款-1期</w:t>
            </w:r>
          </w:p>
        </w:tc>
        <w:tc>
          <w:tcPr>
            <w:tcW w:w="1320"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11</w:t>
            </w:r>
          </w:p>
        </w:tc>
        <w:tc>
          <w:tcPr>
            <w:tcW w:w="1297"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17</w:t>
            </w:r>
          </w:p>
        </w:tc>
        <w:tc>
          <w:tcPr>
            <w:tcW w:w="1298"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18</w:t>
            </w:r>
          </w:p>
        </w:tc>
        <w:tc>
          <w:tcPr>
            <w:tcW w:w="1890" w:type="dxa"/>
            <w:vAlign w:val="center"/>
          </w:tcPr>
          <w:p>
            <w:pPr>
              <w:spacing w:line="360" w:lineRule="exact"/>
              <w:jc w:val="center"/>
              <w:rPr>
                <w:rFonts w:hint="eastAsia" w:eastAsia="楷体_GB2312"/>
                <w:color w:val="000000"/>
                <w:lang w:val="en-US" w:eastAsia="zh-CN"/>
              </w:rPr>
            </w:pPr>
            <w:r>
              <w:rPr>
                <w:rFonts w:hint="eastAsia" w:eastAsia="楷体_GB2312"/>
                <w:color w:val="000000"/>
                <w:lang w:val="en-US" w:eastAsia="zh-CN"/>
              </w:rPr>
              <w:t>182</w:t>
            </w:r>
          </w:p>
        </w:tc>
        <w:tc>
          <w:tcPr>
            <w:tcW w:w="1365"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w:t>
            </w:r>
            <w:r>
              <w:rPr>
                <w:rFonts w:hint="eastAsia" w:eastAsia="楷体_GB2312"/>
                <w:color w:val="000000"/>
                <w:highlight w:val="none"/>
                <w:lang w:val="en-US" w:eastAsia="zh-CN"/>
              </w:rPr>
              <w:t>2</w:t>
            </w:r>
            <w:r>
              <w:rPr>
                <w:rFonts w:eastAsia="楷体_GB2312"/>
                <w:color w:val="000000"/>
                <w:highlight w:val="none"/>
              </w:rPr>
              <w:t>/</w:t>
            </w:r>
            <w:r>
              <w:rPr>
                <w:rFonts w:hint="eastAsia" w:eastAsia="楷体_GB2312"/>
                <w:color w:val="000000"/>
                <w:highlight w:val="none"/>
                <w:lang w:val="en-US" w:eastAsia="zh-CN"/>
              </w:rPr>
              <w:t>05</w:t>
            </w:r>
            <w:r>
              <w:rPr>
                <w:rFonts w:eastAsia="楷体_GB2312"/>
                <w:color w:val="000000"/>
                <w:highlight w:val="none"/>
              </w:rPr>
              <w:t>/</w:t>
            </w:r>
            <w:r>
              <w:rPr>
                <w:rFonts w:hint="eastAsia" w:eastAsia="楷体_GB2312"/>
                <w:color w:val="000000"/>
                <w:highlight w:val="none"/>
                <w:lang w:val="en-US" w:eastAsia="zh-CN"/>
              </w:rPr>
              <w:t>19</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hint="eastAsia" w:eastAsia="楷体_GB2312"/>
          <w:b/>
          <w:bCs/>
        </w:rPr>
      </w:pPr>
      <w:r>
        <w:rPr>
          <w:rFonts w:eastAsia="楷体_GB2312"/>
        </w:rPr>
        <w:t>2</w:t>
      </w:r>
      <w:r>
        <w:rPr>
          <w:rFonts w:hint="eastAsia" w:eastAsia="楷体_GB2312"/>
        </w:rPr>
        <w:t>、业绩比较基准（</w:t>
      </w:r>
      <w:r>
        <w:rPr>
          <w:rFonts w:hint="eastAsia" w:eastAsia="楷体_GB2312"/>
          <w:lang w:eastAsia="zh-CN"/>
        </w:rPr>
        <w:t>【</w:t>
      </w:r>
      <w:r>
        <w:rPr>
          <w:rFonts w:eastAsia="楷体_GB2312"/>
        </w:rPr>
        <w:t>R</w:t>
      </w:r>
      <w:r>
        <w:rPr>
          <w:rFonts w:hint="eastAsia" w:eastAsia="楷体_GB2312"/>
          <w:lang w:val="en-US" w:eastAsia="zh-CN"/>
        </w:rPr>
        <w:t>1-R2</w:t>
      </w:r>
      <w:r>
        <w:rPr>
          <w:rFonts w:hint="eastAsia" w:eastAsia="楷体_GB2312"/>
          <w:lang w:eastAsia="zh-CN"/>
        </w:rPr>
        <w:t>】</w:t>
      </w:r>
      <w:r>
        <w:rPr>
          <w:rFonts w:hint="eastAsia" w:eastAsia="楷体_GB2312"/>
        </w:rPr>
        <w:t>）：募集期及开放期内业绩比较基准详见常熟农商银行</w:t>
      </w:r>
      <w:r>
        <w:rPr>
          <w:rFonts w:hint="eastAsia" w:eastAsia="楷体_GB2312"/>
          <w:lang w:eastAsia="zh-CN"/>
        </w:rPr>
        <w:t>各理财销售渠道</w:t>
      </w:r>
      <w:r>
        <w:rPr>
          <w:rFonts w:hint="eastAsia" w:eastAsia="楷体_GB2312"/>
        </w:rPr>
        <w:t>。</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hint="default" w:eastAsia="楷体_GB2312"/>
          <w:b w:val="0"/>
          <w:bCs w:val="0"/>
          <w:lang w:val="en-US" w:eastAsia="zh-CN"/>
        </w:rPr>
      </w:pPr>
      <w:r>
        <w:rPr>
          <w:rFonts w:hint="eastAsia" w:eastAsia="楷体_GB2312"/>
          <w:b w:val="0"/>
          <w:bCs w:val="0"/>
          <w:lang w:val="en-US" w:eastAsia="zh-CN"/>
        </w:rPr>
        <w:t>R1为本理财产品业绩比较基准下限，R2为本理财产品业绩比较基准上限。</w:t>
      </w:r>
    </w:p>
    <w:p>
      <w:pPr>
        <w:snapToGrid w:val="0"/>
        <w:spacing w:line="360" w:lineRule="atLeast"/>
        <w:ind w:left="19" w:firstLine="338" w:firstLineChars="161"/>
        <w:rPr>
          <w:rFonts w:eastAsia="楷体_GB2312"/>
        </w:rPr>
      </w:pPr>
      <w:r>
        <w:rPr>
          <w:rFonts w:eastAsia="楷体_GB2312"/>
        </w:rPr>
        <w:t>3</w:t>
      </w:r>
      <w:r>
        <w:rPr>
          <w:rFonts w:hint="eastAsia" w:eastAsia="楷体_GB2312"/>
        </w:rPr>
        <w:t>、</w:t>
      </w:r>
      <w:r>
        <w:rPr>
          <w:rFonts w:hint="eastAsia" w:eastAsia="楷体_GB2312"/>
          <w:lang w:val="en-US" w:eastAsia="zh-CN"/>
        </w:rPr>
        <w:t>超额</w:t>
      </w:r>
      <w:r>
        <w:rPr>
          <w:rFonts w:hint="eastAsia" w:eastAsia="楷体_GB2312"/>
        </w:rPr>
        <w:t>业绩报酬：如产品收益（扣除固定管理费</w:t>
      </w:r>
      <w:r>
        <w:rPr>
          <w:rFonts w:hint="eastAsia" w:eastAsia="楷体_GB2312"/>
          <w:lang w:eastAsia="zh-CN"/>
        </w:rPr>
        <w:t>、</w:t>
      </w:r>
      <w:r>
        <w:rPr>
          <w:rFonts w:hint="eastAsia" w:eastAsia="楷体_GB2312"/>
        </w:rPr>
        <w:t>托管费等相关费用）超过业绩</w:t>
      </w:r>
      <w:r>
        <w:rPr>
          <w:rFonts w:hint="eastAsia" w:eastAsia="楷体_GB2312"/>
          <w:lang w:val="en-US" w:eastAsia="zh-CN"/>
        </w:rPr>
        <w:t>比较</w:t>
      </w:r>
      <w:r>
        <w:rPr>
          <w:rFonts w:hint="eastAsia" w:eastAsia="楷体_GB2312"/>
        </w:rPr>
        <w:t>基准</w:t>
      </w:r>
      <w:r>
        <w:rPr>
          <w:rFonts w:hint="eastAsia" w:eastAsia="楷体_GB2312"/>
          <w:lang w:eastAsia="zh-CN"/>
        </w:rPr>
        <w:t>下限</w:t>
      </w:r>
      <w:r>
        <w:rPr>
          <w:rFonts w:hint="eastAsia" w:eastAsia="楷体_GB2312"/>
          <w:lang w:val="en-US" w:eastAsia="zh-CN"/>
        </w:rPr>
        <w:t>R1</w:t>
      </w:r>
      <w:r>
        <w:rPr>
          <w:rFonts w:hint="eastAsia" w:eastAsia="楷体_GB2312"/>
        </w:rPr>
        <w:t>时，</w:t>
      </w:r>
      <w:r>
        <w:rPr>
          <w:rFonts w:hint="eastAsia" w:ascii="Times New Roman" w:hAnsi="Times New Roman" w:eastAsia="楷体_GB2312"/>
        </w:rPr>
        <w:t>超</w:t>
      </w:r>
      <w:r>
        <w:rPr>
          <w:rFonts w:hint="eastAsia" w:ascii="Times New Roman" w:hAnsi="Times New Roman" w:eastAsia="楷体_GB2312"/>
          <w:lang w:val="en-US" w:eastAsia="zh-CN"/>
        </w:rPr>
        <w:t>过</w:t>
      </w:r>
      <w:r>
        <w:rPr>
          <w:rFonts w:hint="eastAsia" w:ascii="Times New Roman" w:hAnsi="Times New Roman" w:eastAsia="楷体_GB2312"/>
        </w:rPr>
        <w:t>部分的8</w:t>
      </w:r>
      <w:r>
        <w:rPr>
          <w:rFonts w:ascii="Times New Roman" w:hAnsi="Times New Roman" w:eastAsia="楷体_GB2312"/>
        </w:rPr>
        <w:t>0</w:t>
      </w:r>
      <w:r>
        <w:rPr>
          <w:rFonts w:hint="eastAsia" w:ascii="Times New Roman" w:hAnsi="Times New Roman" w:eastAsia="楷体_GB2312"/>
        </w:rPr>
        <w:t>%作为</w:t>
      </w:r>
      <w:r>
        <w:rPr>
          <w:rFonts w:hint="eastAsia" w:ascii="Times New Roman" w:hAnsi="Times New Roman" w:eastAsia="楷体_GB2312"/>
          <w:lang w:val="en-US" w:eastAsia="zh-CN"/>
        </w:rPr>
        <w:t>超额</w:t>
      </w:r>
      <w:r>
        <w:rPr>
          <w:rFonts w:hint="eastAsia" w:ascii="Times New Roman" w:hAnsi="Times New Roman" w:eastAsia="楷体_GB2312"/>
        </w:rPr>
        <w:t>业绩报酬由管理人收取</w:t>
      </w:r>
      <w:r>
        <w:rPr>
          <w:rFonts w:hint="eastAsia" w:ascii="Times New Roman" w:hAnsi="Times New Roman" w:eastAsia="楷体_GB2312"/>
          <w:b w:val="0"/>
          <w:bCs w:val="0"/>
          <w:lang w:eastAsia="zh-CN"/>
        </w:rPr>
        <w:t>，</w:t>
      </w:r>
      <w:r>
        <w:rPr>
          <w:rFonts w:hint="eastAsia" w:ascii="Times New Roman" w:hAnsi="Times New Roman" w:eastAsia="楷体_GB2312"/>
          <w:b w:val="0"/>
          <w:bCs w:val="0"/>
          <w:lang w:val="en-US" w:eastAsia="zh-CN"/>
        </w:rPr>
        <w:t>其余20%归投资者所有</w:t>
      </w:r>
      <w:r>
        <w:rPr>
          <w:rFonts w:hint="eastAsia" w:ascii="Times New Roman" w:hAnsi="Times New Roman" w:eastAsia="楷体_GB2312"/>
        </w:rPr>
        <w:t>。</w:t>
      </w:r>
    </w:p>
    <w:p>
      <w:pPr>
        <w:snapToGrid w:val="0"/>
        <w:spacing w:line="360" w:lineRule="atLeast"/>
        <w:ind w:firstLine="420" w:firstLineChars="200"/>
        <w:rPr>
          <w:rFonts w:eastAsia="楷体_GB2312"/>
        </w:rPr>
      </w:pPr>
      <w:r>
        <w:rPr>
          <w:rFonts w:hint="eastAsia" w:eastAsia="楷体_GB2312"/>
        </w:rPr>
        <w:t>扣除固定管理费</w:t>
      </w:r>
      <w:r>
        <w:rPr>
          <w:rFonts w:hint="eastAsia" w:eastAsia="楷体_GB2312"/>
          <w:lang w:eastAsia="zh-CN"/>
        </w:rPr>
        <w:t>、</w:t>
      </w:r>
      <w:r>
        <w:rPr>
          <w:rFonts w:hint="eastAsia" w:eastAsia="楷体_GB2312"/>
        </w:rPr>
        <w:t>托管费等相关费用后，投资者赎回日产品收益率（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lang w:val="en-US" w:eastAsia="zh-CN"/>
        </w:rPr>
        <w:t>1</w:t>
      </w:r>
      <w:r>
        <w:rPr>
          <w:rFonts w:hint="eastAsia" w:eastAsia="楷体_GB2312"/>
        </w:rPr>
        <w:t>，则常熟农商银行实际收取</w:t>
      </w:r>
      <w:r>
        <w:rPr>
          <w:rFonts w:hint="eastAsia" w:eastAsia="楷体_GB2312"/>
          <w:lang w:val="en-US" w:eastAsia="zh-CN"/>
        </w:rPr>
        <w:t>超额</w:t>
      </w:r>
      <w:r>
        <w:rPr>
          <w:rFonts w:hint="eastAsia" w:eastAsia="楷体_GB2312"/>
        </w:rPr>
        <w:t>业绩报酬的年化比率为（</w:t>
      </w:r>
      <w:r>
        <w:rPr>
          <w:rFonts w:eastAsia="楷体_GB2312"/>
        </w:rPr>
        <w:t>r-R</w:t>
      </w:r>
      <w:r>
        <w:rPr>
          <w:rFonts w:hint="eastAsia" w:eastAsia="楷体_GB2312"/>
          <w:lang w:val="en-US" w:eastAsia="zh-CN"/>
        </w:rPr>
        <w:t>1</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w:t>
      </w:r>
      <w:r>
        <w:rPr>
          <w:rFonts w:hint="eastAsia" w:hAnsi="Times New Roman" w:eastAsia="楷体_GB2312" w:asciiTheme="minorAscii"/>
        </w:rPr>
        <w:t>R</w:t>
      </w:r>
      <w:r>
        <w:rPr>
          <w:rFonts w:hint="eastAsia" w:ascii="Times New Roman" w:hAnsi="Times New Roman" w:eastAsia="楷体_GB2312"/>
          <w:lang w:val="en-US" w:eastAsia="zh-CN"/>
        </w:rPr>
        <w:t>1</w:t>
      </w:r>
      <w:r>
        <w:rPr>
          <w:rFonts w:hint="eastAsia" w:ascii="Times New Roman" w:hAnsi="Times New Roman" w:eastAsia="楷体_GB2312"/>
        </w:rPr>
        <w:t>+</w:t>
      </w:r>
      <w:r>
        <w:rPr>
          <w:rFonts w:hint="eastAsia" w:eastAsia="楷体_GB2312"/>
        </w:rPr>
        <w:t>（</w:t>
      </w:r>
      <w:r>
        <w:rPr>
          <w:rFonts w:eastAsia="楷体_GB2312"/>
        </w:rPr>
        <w:t>r-R</w:t>
      </w:r>
      <w:r>
        <w:rPr>
          <w:rFonts w:hint="eastAsia" w:eastAsia="楷体_GB2312"/>
          <w:lang w:val="en-US" w:eastAsia="zh-CN"/>
        </w:rPr>
        <w:t>1</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lang w:val="en-US" w:eastAsia="zh-CN"/>
        </w:rPr>
        <w:t>1</w:t>
      </w:r>
      <w:r>
        <w:rPr>
          <w:rFonts w:hint="eastAsia" w:eastAsia="楷体_GB2312"/>
        </w:rPr>
        <w:t>，投资者实际收益为</w:t>
      </w:r>
      <w:r>
        <w:rPr>
          <w:rFonts w:eastAsia="楷体_GB2312"/>
        </w:rPr>
        <w:t>r</w:t>
      </w:r>
      <w:r>
        <w:rPr>
          <w:rFonts w:hint="eastAsia" w:eastAsia="楷体_GB2312"/>
        </w:rPr>
        <w:t>，常熟农商银行不收取</w:t>
      </w:r>
      <w:r>
        <w:rPr>
          <w:rFonts w:hint="eastAsia" w:eastAsia="楷体_GB2312"/>
          <w:lang w:val="en-US" w:eastAsia="zh-CN"/>
        </w:rPr>
        <w:t>超额</w:t>
      </w:r>
      <w:r>
        <w:rPr>
          <w:rFonts w:hint="eastAsia" w:eastAsia="楷体_GB2312"/>
        </w:rPr>
        <w:t>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w:t>
      </w:r>
      <w:r>
        <w:rPr>
          <w:rFonts w:hint="eastAsia" w:eastAsia="楷体_GB2312"/>
          <w:lang w:val="en-US" w:eastAsia="zh-CN"/>
        </w:rPr>
        <w:t>超额</w:t>
      </w:r>
      <w:r>
        <w:rPr>
          <w:rFonts w:hint="eastAsia" w:eastAsia="楷体_GB2312"/>
        </w:rPr>
        <w:t>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w:t>
      </w:r>
      <w:r>
        <w:rPr>
          <w:rFonts w:hint="eastAsia" w:eastAsia="楷体_GB2312"/>
          <w:color w:val="000000"/>
          <w:lang w:eastAsia="zh-CN"/>
        </w:rPr>
        <w:t>下限</w:t>
      </w:r>
      <w:r>
        <w:rPr>
          <w:rFonts w:hint="eastAsia" w:eastAsia="楷体_GB2312"/>
          <w:color w:val="000000"/>
          <w:lang w:val="en-US" w:eastAsia="zh-CN"/>
        </w:rPr>
        <w:t>R1</w:t>
      </w:r>
      <w:r>
        <w:rPr>
          <w:rFonts w:hint="eastAsia" w:eastAsia="楷体_GB2312"/>
          <w:color w:val="000000"/>
        </w:rPr>
        <w:t>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hint="eastAsia" w:eastAsia="楷体_GB2312"/>
          <w:color w:val="000000"/>
          <w:lang w:eastAsia="zh-CN"/>
        </w:rPr>
        <w:t>下限</w:t>
      </w:r>
      <w:r>
        <w:rPr>
          <w:rFonts w:hint="eastAsia" w:eastAsia="楷体_GB2312"/>
          <w:color w:val="000000"/>
          <w:lang w:val="en-US" w:eastAsia="zh-CN"/>
        </w:rPr>
        <w:t xml:space="preserve">R1 </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w:t>
      </w:r>
      <w:r>
        <w:rPr>
          <w:rFonts w:hint="eastAsia" w:eastAsia="楷体_GB2312"/>
          <w:color w:val="000000"/>
          <w:lang w:eastAsia="zh-CN"/>
        </w:rPr>
        <w:t>超额</w:t>
      </w:r>
      <w:r>
        <w:rPr>
          <w:rFonts w:hint="eastAsia" w:eastAsia="楷体_GB2312"/>
          <w:color w:val="000000"/>
        </w:rPr>
        <w:t>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w:t>
      </w:r>
      <w:r>
        <w:rPr>
          <w:rFonts w:hint="eastAsia" w:eastAsia="楷体_GB2312"/>
          <w:color w:val="000000"/>
          <w:lang w:eastAsia="zh-CN"/>
        </w:rPr>
        <w:t>超额</w:t>
      </w:r>
      <w:r>
        <w:rPr>
          <w:rFonts w:hint="eastAsia" w:eastAsia="楷体_GB2312"/>
          <w:color w:val="000000"/>
        </w:rPr>
        <w:t>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w:t>
      </w:r>
      <w:r>
        <w:rPr>
          <w:rFonts w:hint="eastAsia" w:eastAsia="楷体_GB2312"/>
          <w:color w:val="000000"/>
          <w:lang w:eastAsia="zh-CN"/>
        </w:rPr>
        <w:t>间</w:t>
      </w:r>
      <w:r>
        <w:rPr>
          <w:rFonts w:hint="eastAsia" w:eastAsia="楷体_GB2312"/>
          <w:color w:val="000000"/>
        </w:rPr>
        <w:t>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w:t>
      </w:r>
      <w:r>
        <w:rPr>
          <w:rFonts w:hint="eastAsia" w:eastAsia="楷体_GB2312"/>
          <w:color w:val="000000"/>
          <w:lang w:eastAsia="zh-CN"/>
        </w:rPr>
        <w:t>超额</w:t>
      </w:r>
      <w:r>
        <w:rPr>
          <w:rFonts w:hint="eastAsia" w:eastAsia="楷体_GB2312"/>
          <w:color w:val="000000"/>
        </w:rPr>
        <w:t>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816"/>
      <w:bookmarkStart w:id="1" w:name="_Toc24442988"/>
      <w:bookmarkStart w:id="2" w:name="_Toc24442931"/>
      <w:bookmarkStart w:id="3" w:name="_Toc37147666"/>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本产品拟配置资产的比例为存款、货币基金等现金类资产</w:t>
      </w:r>
      <w:r>
        <w:rPr>
          <w:rFonts w:hint="eastAsia" w:ascii="楷体_GB2312" w:hAnsi="Times New Roman" w:eastAsia="楷体_GB2312"/>
          <w:b/>
          <w:bCs/>
          <w:color w:val="000000"/>
        </w:rPr>
        <w:t xml:space="preserve"> 0-30%</w:t>
      </w:r>
      <w:r>
        <w:rPr>
          <w:rFonts w:hint="eastAsia" w:ascii="楷体_GB2312" w:hAnsi="Times New Roman" w:eastAsia="楷体_GB2312"/>
          <w:color w:val="000000"/>
        </w:rPr>
        <w:t>，债券资产、同业存单、同业拆借、回购、债券基金</w:t>
      </w:r>
      <w:r>
        <w:rPr>
          <w:rFonts w:ascii="楷体_GB2312" w:hAnsi="Times New Roman" w:eastAsia="楷体_GB2312"/>
          <w:b/>
          <w:bCs/>
          <w:color w:val="000000"/>
        </w:rPr>
        <w:t>3</w:t>
      </w:r>
      <w:r>
        <w:rPr>
          <w:rFonts w:hint="eastAsia" w:ascii="楷体_GB2312" w:hAnsi="Times New Roman" w:eastAsia="楷体_GB2312"/>
          <w:b/>
          <w:bCs/>
          <w:color w:val="000000"/>
        </w:rPr>
        <w:t>0-100%</w:t>
      </w:r>
      <w:r>
        <w:rPr>
          <w:rFonts w:hint="eastAsia" w:ascii="楷体_GB2312" w:hAnsi="Times New Roman" w:eastAsia="楷体_GB2312"/>
          <w:color w:val="000000"/>
        </w:rPr>
        <w:t>，同业借款、理财直融工具、债权融资计划及其他符合监管要求的债权类资产</w:t>
      </w:r>
      <w:r>
        <w:rPr>
          <w:rFonts w:hint="eastAsia" w:ascii="楷体_GB2312" w:hAnsi="Times New Roman" w:eastAsia="楷体_GB2312"/>
          <w:b/>
          <w:bCs/>
          <w:color w:val="000000"/>
        </w:rPr>
        <w:t>0-</w:t>
      </w:r>
      <w:r>
        <w:rPr>
          <w:rFonts w:hint="eastAsia" w:ascii="楷体_GB2312" w:hAnsi="Times New Roman" w:eastAsia="楷体_GB2312"/>
          <w:b/>
          <w:bCs/>
          <w:color w:val="000000"/>
          <w:lang w:val="en-US" w:eastAsia="zh-CN"/>
        </w:rPr>
        <w:t>5</w:t>
      </w:r>
      <w:r>
        <w:rPr>
          <w:rFonts w:hint="eastAsia" w:ascii="楷体_GB2312" w:hAnsi="Times New Roman" w:eastAsia="楷体_GB2312"/>
          <w:b/>
          <w:bCs/>
          <w:color w:val="000000"/>
        </w:rPr>
        <w:t>0%</w:t>
      </w:r>
      <w:r>
        <w:rPr>
          <w:rFonts w:hint="eastAsia" w:ascii="楷体_GB2312" w:hAnsi="Times New Roman" w:eastAsia="楷体_GB2312"/>
          <w:color w:val="000000"/>
        </w:rPr>
        <w:t>，股票型基金、混合型基金等权益类资产，以及金融衍生品等</w:t>
      </w:r>
      <w:r>
        <w:rPr>
          <w:rFonts w:hint="eastAsia" w:ascii="楷体_GB2312" w:hAnsi="Times New Roman" w:eastAsia="楷体_GB2312"/>
          <w:b/>
          <w:bCs/>
          <w:color w:val="000000"/>
        </w:rPr>
        <w:t>0-20%</w:t>
      </w:r>
      <w:r>
        <w:rPr>
          <w:rFonts w:hint="eastAsia" w:ascii="楷体_GB2312" w:hAnsi="Times New Roman" w:eastAsia="楷体_GB2312"/>
          <w:color w:val="000000"/>
        </w:rPr>
        <w:t>。</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37147671"/>
      <w:bookmarkStart w:id="6" w:name="_Toc24442995"/>
      <w:bookmarkStart w:id="7" w:name="_Toc24442938"/>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w:pict>
          <v:group id="组合 1" o:spid="_x0000_s1027" o:spt="203" style="position:absolute;left:0pt;margin-left:0pt;margin-top:21.6pt;height:140.3pt;width:360.25pt;mso-wrap-distance-bottom:0pt;mso-wrap-distance-top:0pt;z-index:251660288;mso-width-relative:page;mso-height-relative:page;" coordsize="7205,2806">
            <o:lock v:ext="edit" position="f" selection="f" grouping="f" rotation="f" cropping="f" text="f" aspectratio="f"/>
            <v:rect id="矩形 20" o:spid="_x0000_s1028" o:spt="1" style="position:absolute;left:0;top:0;height:2806;width:7205;" fillcolor="#FFFFFF" filled="f" o:preferrelative="t" stroked="f" coordsize="21600,21600">
              <v:path/>
              <v:fill on="f" color2="#FFFFFF" focussize="0,0"/>
              <v:stroke on="f"/>
              <v:imagedata gain="65536f" blacklevel="0f" gamma="0" o:title=""/>
              <o:lock v:ext="edit" position="f" selection="f" grouping="f" rotation="f" cropping="f" text="f" aspectratio="f"/>
            </v:rect>
            <v:group id="Group 4" o:spid="_x0000_s1029" o:spt="203" style="position:absolute;left:0;top:0;height:2806;width:6617;" coordsize="6617,2806">
              <o:lock v:ext="edit" position="f" selection="f" grouping="f" rotation="f" cropping="f" text="f" aspectratio="f"/>
              <v:shape id="自选图形 22" o:spid="_x0000_s1030" o:spt="13" type="#_x0000_t13" style="position:absolute;left:588;top:255;height:257;width:442;"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3" o:spid="_x0000_s1031" o:spt="1" style="position:absolute;left:1029;top:0;height:1019;width:58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32" o:spt="13" type="#_x0000_t13" style="position:absolute;left:1617;top:255;height:257;width:442;"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5" o:spid="_x0000_s1033" o:spt="1" style="position:absolute;left:2059;top:0;height:1019;width:102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34" o:spt="13" type="#_x0000_t13" style="position:absolute;left:3088;top:255;height:257;width:441;" fillcolor="#FFFFFF" filled="t" o:preferrelative="t" stroked="t" coordsize="21600,21600" adj="16204,5400">
                <v:path/>
                <v:fill on="t" focussize="0,0"/>
                <v:stroke color="#000000" color2="#FFFFFF" miterlimit="2"/>
                <v:imagedata gain="65536f" blacklevel="0f" gamma="0" o:title=""/>
                <o:lock v:ext="edit" position="f" selection="f" grouping="f" rotation="f" cropping="f" text="f" aspectratio="f"/>
              </v:shape>
              <v:rect id="矩形 27" o:spid="_x0000_s1035" o:spt="1" style="position:absolute;left:3529;top:0;height:1019;width:1176;"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36" o:spt="67" type="#_x0000_t67" style="position:absolute;left:5881;top:1019;height:766;width:148;"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9" o:spid="_x0000_s1037" o:spt="1" style="position:absolute;left:5146;top:0;height:1019;width:1471;"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38" o:spt="66" type="#_x0000_t66" style="position:absolute;left:4705;top:2040;height:257;width:440;" fillcolor="#FFFFFF" filled="t" o:preferrelative="t" stroked="t" coordsize="21600,21600" adj="5397,5400">
                <v:path/>
                <v:fill on="t" focussize="0,0"/>
                <v:stroke color="#000000" color2="#FFFFFF" miterlimit="2"/>
                <v:imagedata gain="65536f" blacklevel="0f" gamma="0" o:title=""/>
                <o:lock v:ext="edit" position="f" selection="f" grouping="f" rotation="f" cropping="f" text="f" aspectratio="f"/>
              </v:shape>
              <v:rect id="矩形 31" o:spid="_x0000_s1039" o:spt="1" style="position:absolute;left:5146;top:1785;height:1021;width:1470;"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40" o:spt="1" style="position:absolute;left:3235;top:1785;height:1021;width:146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41" o:spt="1" style="position:absolute;left:0;top:0;height:897;width:58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42" o:spt="13" type="#_x0000_t13" style="position:absolute;left:4705;top:255;height:256;width:441;"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group>
            <w10:wrap type="topAndBottom"/>
          </v:group>
        </w:pic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12"/>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0"/>
          <w:rFonts w:ascii="宋体" w:hAnsi="宋体" w:cs="宋体"/>
          <w:color w:val="000000"/>
          <w:kern w:val="0"/>
          <w:sz w:val="18"/>
          <w:szCs w:val="18"/>
        </w:rPr>
        <w:t>www.</w:t>
      </w:r>
      <w:r>
        <w:rPr>
          <w:rStyle w:val="10"/>
          <w:rFonts w:hint="eastAsia" w:ascii="宋体" w:hAnsi="宋体" w:cs="宋体"/>
          <w:color w:val="000000"/>
          <w:kern w:val="0"/>
          <w:sz w:val="18"/>
          <w:szCs w:val="18"/>
        </w:rPr>
        <w:t>csrcbank</w:t>
      </w:r>
      <w:r>
        <w:rPr>
          <w:rStyle w:val="10"/>
          <w:rFonts w:ascii="宋体" w:hAnsi="宋体" w:cs="宋体"/>
          <w:color w:val="000000"/>
          <w:kern w:val="0"/>
          <w:sz w:val="18"/>
          <w:szCs w:val="18"/>
        </w:rPr>
        <w:t>.com</w:t>
      </w:r>
      <w:r>
        <w:rPr>
          <w:rStyle w:val="10"/>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3D8B"/>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305281"/>
    <w:rsid w:val="015107E6"/>
    <w:rsid w:val="020277D8"/>
    <w:rsid w:val="02485D4E"/>
    <w:rsid w:val="026D534C"/>
    <w:rsid w:val="02840131"/>
    <w:rsid w:val="028E264D"/>
    <w:rsid w:val="02C14713"/>
    <w:rsid w:val="02EF77E1"/>
    <w:rsid w:val="03243133"/>
    <w:rsid w:val="036C6DAA"/>
    <w:rsid w:val="038412F1"/>
    <w:rsid w:val="03E531F1"/>
    <w:rsid w:val="04815B5D"/>
    <w:rsid w:val="048C0506"/>
    <w:rsid w:val="04EF11D6"/>
    <w:rsid w:val="050104C5"/>
    <w:rsid w:val="05066B4B"/>
    <w:rsid w:val="053B19FF"/>
    <w:rsid w:val="05711A7E"/>
    <w:rsid w:val="058C00A9"/>
    <w:rsid w:val="05921FB2"/>
    <w:rsid w:val="05B437EC"/>
    <w:rsid w:val="05EE1047"/>
    <w:rsid w:val="05F2584F"/>
    <w:rsid w:val="06187C8D"/>
    <w:rsid w:val="064A5EDE"/>
    <w:rsid w:val="06721621"/>
    <w:rsid w:val="068B4749"/>
    <w:rsid w:val="069A535A"/>
    <w:rsid w:val="06BA258E"/>
    <w:rsid w:val="072B6851"/>
    <w:rsid w:val="07726BC0"/>
    <w:rsid w:val="077730CD"/>
    <w:rsid w:val="07B55485"/>
    <w:rsid w:val="07BA06BE"/>
    <w:rsid w:val="07C74150"/>
    <w:rsid w:val="07EF32E6"/>
    <w:rsid w:val="084837A5"/>
    <w:rsid w:val="08487F22"/>
    <w:rsid w:val="085262B3"/>
    <w:rsid w:val="086246CF"/>
    <w:rsid w:val="086D2969"/>
    <w:rsid w:val="08B140CE"/>
    <w:rsid w:val="09002F54"/>
    <w:rsid w:val="097A4186"/>
    <w:rsid w:val="09D94E35"/>
    <w:rsid w:val="09DD76C5"/>
    <w:rsid w:val="09E24B3C"/>
    <w:rsid w:val="09FB2DEB"/>
    <w:rsid w:val="0A3B2F80"/>
    <w:rsid w:val="0A3B3BD5"/>
    <w:rsid w:val="0A436A63"/>
    <w:rsid w:val="0A5C798D"/>
    <w:rsid w:val="0A697B87"/>
    <w:rsid w:val="0A773A3A"/>
    <w:rsid w:val="0A8E1461"/>
    <w:rsid w:val="0A9C2975"/>
    <w:rsid w:val="0AB44325"/>
    <w:rsid w:val="0AB74823"/>
    <w:rsid w:val="0AC57691"/>
    <w:rsid w:val="0AD13784"/>
    <w:rsid w:val="0B322C9A"/>
    <w:rsid w:val="0B4F2ACA"/>
    <w:rsid w:val="0B921C08"/>
    <w:rsid w:val="0BE36CA3"/>
    <w:rsid w:val="0BF82C31"/>
    <w:rsid w:val="0C6E04EF"/>
    <w:rsid w:val="0C76412E"/>
    <w:rsid w:val="0CA279BF"/>
    <w:rsid w:val="0CAB26D5"/>
    <w:rsid w:val="0CB17E61"/>
    <w:rsid w:val="0D552B6D"/>
    <w:rsid w:val="0D7359A1"/>
    <w:rsid w:val="0D9C536D"/>
    <w:rsid w:val="0E183F30"/>
    <w:rsid w:val="0E1A7433"/>
    <w:rsid w:val="0E442D94"/>
    <w:rsid w:val="0E8C5D7C"/>
    <w:rsid w:val="0E8F15F0"/>
    <w:rsid w:val="0EDA076B"/>
    <w:rsid w:val="103764A9"/>
    <w:rsid w:val="105B1B61"/>
    <w:rsid w:val="10807BA2"/>
    <w:rsid w:val="10997447"/>
    <w:rsid w:val="10A854E3"/>
    <w:rsid w:val="10BD6012"/>
    <w:rsid w:val="10EC3811"/>
    <w:rsid w:val="11044578"/>
    <w:rsid w:val="114A726B"/>
    <w:rsid w:val="116B08B9"/>
    <w:rsid w:val="116F3C27"/>
    <w:rsid w:val="1186384C"/>
    <w:rsid w:val="11D3174D"/>
    <w:rsid w:val="12111CE2"/>
    <w:rsid w:val="12374872"/>
    <w:rsid w:val="125633BB"/>
    <w:rsid w:val="128F1B00"/>
    <w:rsid w:val="12A32D1F"/>
    <w:rsid w:val="12C82F5F"/>
    <w:rsid w:val="13180760"/>
    <w:rsid w:val="13853312"/>
    <w:rsid w:val="13860D94"/>
    <w:rsid w:val="13AD22D8"/>
    <w:rsid w:val="13B35317"/>
    <w:rsid w:val="13C72343"/>
    <w:rsid w:val="13E56022"/>
    <w:rsid w:val="13FC2057"/>
    <w:rsid w:val="142D60AA"/>
    <w:rsid w:val="14480E52"/>
    <w:rsid w:val="1462527F"/>
    <w:rsid w:val="148F28CB"/>
    <w:rsid w:val="14A127E5"/>
    <w:rsid w:val="153F62B3"/>
    <w:rsid w:val="15584512"/>
    <w:rsid w:val="15596EC0"/>
    <w:rsid w:val="15930A5E"/>
    <w:rsid w:val="1604074F"/>
    <w:rsid w:val="16391602"/>
    <w:rsid w:val="164467AA"/>
    <w:rsid w:val="168A398A"/>
    <w:rsid w:val="16B36D4D"/>
    <w:rsid w:val="16BD104F"/>
    <w:rsid w:val="16E21E1B"/>
    <w:rsid w:val="16EC3EA8"/>
    <w:rsid w:val="16F577B6"/>
    <w:rsid w:val="1703454E"/>
    <w:rsid w:val="17206192"/>
    <w:rsid w:val="1771638A"/>
    <w:rsid w:val="17AE19F4"/>
    <w:rsid w:val="17AF08A9"/>
    <w:rsid w:val="17D313A3"/>
    <w:rsid w:val="17DB7587"/>
    <w:rsid w:val="17E70043"/>
    <w:rsid w:val="17E91348"/>
    <w:rsid w:val="17F6065E"/>
    <w:rsid w:val="181E68F0"/>
    <w:rsid w:val="18292F6E"/>
    <w:rsid w:val="182D2D36"/>
    <w:rsid w:val="184503DD"/>
    <w:rsid w:val="18B60219"/>
    <w:rsid w:val="18D944D4"/>
    <w:rsid w:val="18DD7D48"/>
    <w:rsid w:val="18DF3E5F"/>
    <w:rsid w:val="191142D4"/>
    <w:rsid w:val="19623EA2"/>
    <w:rsid w:val="19A50560"/>
    <w:rsid w:val="19D4203E"/>
    <w:rsid w:val="19DC4FFB"/>
    <w:rsid w:val="19E908B9"/>
    <w:rsid w:val="1A29778A"/>
    <w:rsid w:val="1A491DAC"/>
    <w:rsid w:val="1A8100C2"/>
    <w:rsid w:val="1A8F0322"/>
    <w:rsid w:val="1AAF48E3"/>
    <w:rsid w:val="1B127276"/>
    <w:rsid w:val="1B171500"/>
    <w:rsid w:val="1B3153FC"/>
    <w:rsid w:val="1BC85AA0"/>
    <w:rsid w:val="1BDB5989"/>
    <w:rsid w:val="1C2E0BDD"/>
    <w:rsid w:val="1C392F29"/>
    <w:rsid w:val="1C6F2DB6"/>
    <w:rsid w:val="1C7F1A3E"/>
    <w:rsid w:val="1C951971"/>
    <w:rsid w:val="1CF5241E"/>
    <w:rsid w:val="1D86477C"/>
    <w:rsid w:val="1DBA3E18"/>
    <w:rsid w:val="1E096D6E"/>
    <w:rsid w:val="1E0E375C"/>
    <w:rsid w:val="1E2C078D"/>
    <w:rsid w:val="1E414EAF"/>
    <w:rsid w:val="1E437E7F"/>
    <w:rsid w:val="1E521BBB"/>
    <w:rsid w:val="1E5D6D5E"/>
    <w:rsid w:val="1EBE5AFE"/>
    <w:rsid w:val="1EF67E9C"/>
    <w:rsid w:val="1F163F8E"/>
    <w:rsid w:val="1F4958D9"/>
    <w:rsid w:val="20174E36"/>
    <w:rsid w:val="204358FA"/>
    <w:rsid w:val="204C6209"/>
    <w:rsid w:val="206F170E"/>
    <w:rsid w:val="20CC36EF"/>
    <w:rsid w:val="20F879A7"/>
    <w:rsid w:val="21060EBB"/>
    <w:rsid w:val="21510752"/>
    <w:rsid w:val="21540FBA"/>
    <w:rsid w:val="21637056"/>
    <w:rsid w:val="21783778"/>
    <w:rsid w:val="21D44D8B"/>
    <w:rsid w:val="221A5500"/>
    <w:rsid w:val="222C0C9D"/>
    <w:rsid w:val="223C5D9A"/>
    <w:rsid w:val="22850432"/>
    <w:rsid w:val="228A48BA"/>
    <w:rsid w:val="22DC55BE"/>
    <w:rsid w:val="22E31B89"/>
    <w:rsid w:val="232F3534"/>
    <w:rsid w:val="234341C3"/>
    <w:rsid w:val="23B36272"/>
    <w:rsid w:val="23DB2F62"/>
    <w:rsid w:val="23ED4783"/>
    <w:rsid w:val="24335B6F"/>
    <w:rsid w:val="244509F0"/>
    <w:rsid w:val="25147B41"/>
    <w:rsid w:val="251A1C01"/>
    <w:rsid w:val="25544D4D"/>
    <w:rsid w:val="259C0524"/>
    <w:rsid w:val="264158CF"/>
    <w:rsid w:val="265213ED"/>
    <w:rsid w:val="266C5FDD"/>
    <w:rsid w:val="267E1DB2"/>
    <w:rsid w:val="26D37F62"/>
    <w:rsid w:val="26FF05DD"/>
    <w:rsid w:val="2792413E"/>
    <w:rsid w:val="27C512CF"/>
    <w:rsid w:val="27E53D82"/>
    <w:rsid w:val="283404D0"/>
    <w:rsid w:val="28405395"/>
    <w:rsid w:val="28BC293D"/>
    <w:rsid w:val="28E107A2"/>
    <w:rsid w:val="28F76BC7"/>
    <w:rsid w:val="29095BA3"/>
    <w:rsid w:val="29BF1089"/>
    <w:rsid w:val="29CD7D23"/>
    <w:rsid w:val="29DB2BB8"/>
    <w:rsid w:val="29FC6970"/>
    <w:rsid w:val="2A017DDD"/>
    <w:rsid w:val="2A120B13"/>
    <w:rsid w:val="2A842B20"/>
    <w:rsid w:val="2AA76E09"/>
    <w:rsid w:val="2B700A50"/>
    <w:rsid w:val="2B7661DC"/>
    <w:rsid w:val="2C0B66D0"/>
    <w:rsid w:val="2C110389"/>
    <w:rsid w:val="2C372A17"/>
    <w:rsid w:val="2C8C7F23"/>
    <w:rsid w:val="2CD07712"/>
    <w:rsid w:val="2CD95E24"/>
    <w:rsid w:val="2D284B7C"/>
    <w:rsid w:val="2D324A76"/>
    <w:rsid w:val="2D406ACD"/>
    <w:rsid w:val="2D4A7886"/>
    <w:rsid w:val="2DA54273"/>
    <w:rsid w:val="2DBA5111"/>
    <w:rsid w:val="2E126E25"/>
    <w:rsid w:val="2E286892"/>
    <w:rsid w:val="2E475FFA"/>
    <w:rsid w:val="2E627EA9"/>
    <w:rsid w:val="2E922BF6"/>
    <w:rsid w:val="2EAF4252"/>
    <w:rsid w:val="2ED37CF9"/>
    <w:rsid w:val="2EF54743"/>
    <w:rsid w:val="2F0F2FDB"/>
    <w:rsid w:val="2F5B483E"/>
    <w:rsid w:val="2F6743D7"/>
    <w:rsid w:val="2F924819"/>
    <w:rsid w:val="2FCF25FE"/>
    <w:rsid w:val="305B7C64"/>
    <w:rsid w:val="309E19D2"/>
    <w:rsid w:val="30E65649"/>
    <w:rsid w:val="316C6324"/>
    <w:rsid w:val="31BB30A3"/>
    <w:rsid w:val="320831A2"/>
    <w:rsid w:val="321118B3"/>
    <w:rsid w:val="322F3062"/>
    <w:rsid w:val="325B798D"/>
    <w:rsid w:val="326D5E9B"/>
    <w:rsid w:val="329B0193"/>
    <w:rsid w:val="32EA7018"/>
    <w:rsid w:val="33A928CE"/>
    <w:rsid w:val="33C2127A"/>
    <w:rsid w:val="33E24302"/>
    <w:rsid w:val="33E46427"/>
    <w:rsid w:val="33FF10DF"/>
    <w:rsid w:val="342B1F77"/>
    <w:rsid w:val="3459185B"/>
    <w:rsid w:val="348A3241"/>
    <w:rsid w:val="34A075E3"/>
    <w:rsid w:val="34A672EE"/>
    <w:rsid w:val="34D06C8E"/>
    <w:rsid w:val="34EB51C8"/>
    <w:rsid w:val="34ED54E4"/>
    <w:rsid w:val="35130F14"/>
    <w:rsid w:val="355A1216"/>
    <w:rsid w:val="357F17EA"/>
    <w:rsid w:val="35C34243"/>
    <w:rsid w:val="35F13A8D"/>
    <w:rsid w:val="36A2002D"/>
    <w:rsid w:val="36CB3D61"/>
    <w:rsid w:val="36D24400"/>
    <w:rsid w:val="36FA64BE"/>
    <w:rsid w:val="374E17CB"/>
    <w:rsid w:val="376A7A76"/>
    <w:rsid w:val="37C13D08"/>
    <w:rsid w:val="37FA7243"/>
    <w:rsid w:val="38667140"/>
    <w:rsid w:val="38A12A51"/>
    <w:rsid w:val="38D45B95"/>
    <w:rsid w:val="39057817"/>
    <w:rsid w:val="390D4614"/>
    <w:rsid w:val="39674039"/>
    <w:rsid w:val="39682ADB"/>
    <w:rsid w:val="39900A80"/>
    <w:rsid w:val="39A43E9E"/>
    <w:rsid w:val="39B131B3"/>
    <w:rsid w:val="39B905C0"/>
    <w:rsid w:val="39C26085"/>
    <w:rsid w:val="39D236E8"/>
    <w:rsid w:val="39D3116A"/>
    <w:rsid w:val="39F529A3"/>
    <w:rsid w:val="39FB232E"/>
    <w:rsid w:val="3A03599D"/>
    <w:rsid w:val="3A2B507B"/>
    <w:rsid w:val="3A2D057F"/>
    <w:rsid w:val="3ADD4E9F"/>
    <w:rsid w:val="3B0E69A9"/>
    <w:rsid w:val="3CC06339"/>
    <w:rsid w:val="3CC60243"/>
    <w:rsid w:val="3CFB7418"/>
    <w:rsid w:val="3D382B00"/>
    <w:rsid w:val="3D3921C5"/>
    <w:rsid w:val="3D53112B"/>
    <w:rsid w:val="3D754D6F"/>
    <w:rsid w:val="3D930C99"/>
    <w:rsid w:val="3DAA1B3A"/>
    <w:rsid w:val="3DC65BE7"/>
    <w:rsid w:val="3E1958A3"/>
    <w:rsid w:val="3E2D0A8E"/>
    <w:rsid w:val="3E4B5293"/>
    <w:rsid w:val="3E5654D6"/>
    <w:rsid w:val="3EF25354"/>
    <w:rsid w:val="3F494FE9"/>
    <w:rsid w:val="3FA163F2"/>
    <w:rsid w:val="3FC55E64"/>
    <w:rsid w:val="3FEA600C"/>
    <w:rsid w:val="402356C6"/>
    <w:rsid w:val="403147CD"/>
    <w:rsid w:val="40516596"/>
    <w:rsid w:val="405E4CFE"/>
    <w:rsid w:val="410C3445"/>
    <w:rsid w:val="412F645D"/>
    <w:rsid w:val="413570A7"/>
    <w:rsid w:val="414755C8"/>
    <w:rsid w:val="414D3EAF"/>
    <w:rsid w:val="41C37371"/>
    <w:rsid w:val="41C837F8"/>
    <w:rsid w:val="41FD4053"/>
    <w:rsid w:val="42054ECF"/>
    <w:rsid w:val="425D61F8"/>
    <w:rsid w:val="42691183"/>
    <w:rsid w:val="428B1338"/>
    <w:rsid w:val="42E94F55"/>
    <w:rsid w:val="42F176D0"/>
    <w:rsid w:val="433462CE"/>
    <w:rsid w:val="4359650D"/>
    <w:rsid w:val="43C00B6F"/>
    <w:rsid w:val="43CD51C7"/>
    <w:rsid w:val="4430746A"/>
    <w:rsid w:val="4450106D"/>
    <w:rsid w:val="445A3B32"/>
    <w:rsid w:val="446E05D4"/>
    <w:rsid w:val="455517CB"/>
    <w:rsid w:val="455E2608"/>
    <w:rsid w:val="45A5284F"/>
    <w:rsid w:val="45D2476C"/>
    <w:rsid w:val="45FD6761"/>
    <w:rsid w:val="464D55E6"/>
    <w:rsid w:val="46534F71"/>
    <w:rsid w:val="467609A9"/>
    <w:rsid w:val="46B77214"/>
    <w:rsid w:val="46D467C4"/>
    <w:rsid w:val="46EE736E"/>
    <w:rsid w:val="46FD0882"/>
    <w:rsid w:val="474422FB"/>
    <w:rsid w:val="4757351A"/>
    <w:rsid w:val="47974304"/>
    <w:rsid w:val="47AC69BD"/>
    <w:rsid w:val="47EC769F"/>
    <w:rsid w:val="480A2FBE"/>
    <w:rsid w:val="48185B57"/>
    <w:rsid w:val="487C587B"/>
    <w:rsid w:val="489B28AD"/>
    <w:rsid w:val="49165266"/>
    <w:rsid w:val="49244D8F"/>
    <w:rsid w:val="494E3DEC"/>
    <w:rsid w:val="49547ADD"/>
    <w:rsid w:val="49792302"/>
    <w:rsid w:val="49AB4C68"/>
    <w:rsid w:val="49D01002"/>
    <w:rsid w:val="49D074BD"/>
    <w:rsid w:val="49F308E0"/>
    <w:rsid w:val="4A17781B"/>
    <w:rsid w:val="4A2645B2"/>
    <w:rsid w:val="4A497731"/>
    <w:rsid w:val="4A586086"/>
    <w:rsid w:val="4A811AEE"/>
    <w:rsid w:val="4AA25200"/>
    <w:rsid w:val="4AD743D6"/>
    <w:rsid w:val="4B2D0403"/>
    <w:rsid w:val="4B5F55B3"/>
    <w:rsid w:val="4C860EA5"/>
    <w:rsid w:val="4CAF785F"/>
    <w:rsid w:val="4D20328E"/>
    <w:rsid w:val="4D5634F0"/>
    <w:rsid w:val="4D5D1F40"/>
    <w:rsid w:val="4DB95793"/>
    <w:rsid w:val="4DDF0F63"/>
    <w:rsid w:val="4E0E506F"/>
    <w:rsid w:val="4E21063A"/>
    <w:rsid w:val="4E4B256C"/>
    <w:rsid w:val="4E501D2A"/>
    <w:rsid w:val="4E884B66"/>
    <w:rsid w:val="4E8C356D"/>
    <w:rsid w:val="4E8F0CF5"/>
    <w:rsid w:val="4EB621B3"/>
    <w:rsid w:val="4EF26794"/>
    <w:rsid w:val="4EFB2AF1"/>
    <w:rsid w:val="4F1637C8"/>
    <w:rsid w:val="4F454F19"/>
    <w:rsid w:val="4F923C1E"/>
    <w:rsid w:val="4FBB03DB"/>
    <w:rsid w:val="50120DEA"/>
    <w:rsid w:val="50146E75"/>
    <w:rsid w:val="503F6BEE"/>
    <w:rsid w:val="50A4615B"/>
    <w:rsid w:val="50BA02FE"/>
    <w:rsid w:val="50BB5D80"/>
    <w:rsid w:val="51186119"/>
    <w:rsid w:val="51291058"/>
    <w:rsid w:val="51322546"/>
    <w:rsid w:val="51465964"/>
    <w:rsid w:val="51827D47"/>
    <w:rsid w:val="51AA7C07"/>
    <w:rsid w:val="51E00BA5"/>
    <w:rsid w:val="52163CAA"/>
    <w:rsid w:val="521C7F46"/>
    <w:rsid w:val="52553923"/>
    <w:rsid w:val="52686D40"/>
    <w:rsid w:val="528122E9"/>
    <w:rsid w:val="52995311"/>
    <w:rsid w:val="52DE03BC"/>
    <w:rsid w:val="52E6760E"/>
    <w:rsid w:val="5335235D"/>
    <w:rsid w:val="5338218F"/>
    <w:rsid w:val="534746ED"/>
    <w:rsid w:val="539C5E38"/>
    <w:rsid w:val="53B50F60"/>
    <w:rsid w:val="53D6159A"/>
    <w:rsid w:val="545B07F5"/>
    <w:rsid w:val="545E1B1E"/>
    <w:rsid w:val="54766E20"/>
    <w:rsid w:val="54927B1C"/>
    <w:rsid w:val="54DB67C4"/>
    <w:rsid w:val="54DD1CC8"/>
    <w:rsid w:val="551256A6"/>
    <w:rsid w:val="551A792E"/>
    <w:rsid w:val="5536145D"/>
    <w:rsid w:val="553D17FD"/>
    <w:rsid w:val="556D4434"/>
    <w:rsid w:val="558535C9"/>
    <w:rsid w:val="559C59C0"/>
    <w:rsid w:val="55AB141B"/>
    <w:rsid w:val="55AB5B98"/>
    <w:rsid w:val="55C022BA"/>
    <w:rsid w:val="55C909CB"/>
    <w:rsid w:val="560077F3"/>
    <w:rsid w:val="563F7711"/>
    <w:rsid w:val="565B37BE"/>
    <w:rsid w:val="569B1267"/>
    <w:rsid w:val="56AC22C3"/>
    <w:rsid w:val="56FE3FDE"/>
    <w:rsid w:val="576747DC"/>
    <w:rsid w:val="57AD4F45"/>
    <w:rsid w:val="57CD362C"/>
    <w:rsid w:val="57DE5EB8"/>
    <w:rsid w:val="57FB5468"/>
    <w:rsid w:val="57FE63ED"/>
    <w:rsid w:val="581B7F1B"/>
    <w:rsid w:val="58D21C48"/>
    <w:rsid w:val="58DB6CD4"/>
    <w:rsid w:val="58DE7C59"/>
    <w:rsid w:val="58E9186D"/>
    <w:rsid w:val="59284BD5"/>
    <w:rsid w:val="59B5223B"/>
    <w:rsid w:val="59FA5DD1"/>
    <w:rsid w:val="5A3E219F"/>
    <w:rsid w:val="5A432DA3"/>
    <w:rsid w:val="5A81068A"/>
    <w:rsid w:val="5A8A2BB3"/>
    <w:rsid w:val="5B214990"/>
    <w:rsid w:val="5B374935"/>
    <w:rsid w:val="5B9B0DD6"/>
    <w:rsid w:val="5BB91A9F"/>
    <w:rsid w:val="5BDD2E3C"/>
    <w:rsid w:val="5C0F2FCD"/>
    <w:rsid w:val="5C2515A2"/>
    <w:rsid w:val="5C331ADD"/>
    <w:rsid w:val="5C372A61"/>
    <w:rsid w:val="5C57557A"/>
    <w:rsid w:val="5C8A0CC8"/>
    <w:rsid w:val="5CB163A0"/>
    <w:rsid w:val="5CD37BDA"/>
    <w:rsid w:val="5CF15194"/>
    <w:rsid w:val="5CFB5748"/>
    <w:rsid w:val="5D0C1038"/>
    <w:rsid w:val="5D762C66"/>
    <w:rsid w:val="5D9D04F4"/>
    <w:rsid w:val="5DDA56EA"/>
    <w:rsid w:val="5DDB040C"/>
    <w:rsid w:val="5DF908A5"/>
    <w:rsid w:val="5E1A7EF1"/>
    <w:rsid w:val="5E782489"/>
    <w:rsid w:val="5ED460FD"/>
    <w:rsid w:val="5EE475B9"/>
    <w:rsid w:val="5EFD2119"/>
    <w:rsid w:val="5F517BED"/>
    <w:rsid w:val="5FA7097C"/>
    <w:rsid w:val="600D76AB"/>
    <w:rsid w:val="6012002C"/>
    <w:rsid w:val="60725AC7"/>
    <w:rsid w:val="60837066"/>
    <w:rsid w:val="610253B6"/>
    <w:rsid w:val="612C0778"/>
    <w:rsid w:val="61414E9A"/>
    <w:rsid w:val="614800A8"/>
    <w:rsid w:val="619F2CB5"/>
    <w:rsid w:val="61E60EAB"/>
    <w:rsid w:val="62246792"/>
    <w:rsid w:val="62461D28"/>
    <w:rsid w:val="62DB4C3B"/>
    <w:rsid w:val="633E6EDE"/>
    <w:rsid w:val="634642EB"/>
    <w:rsid w:val="639E23F7"/>
    <w:rsid w:val="639E361F"/>
    <w:rsid w:val="63C04B54"/>
    <w:rsid w:val="63C86E42"/>
    <w:rsid w:val="640E2396"/>
    <w:rsid w:val="641A7B46"/>
    <w:rsid w:val="64451C8F"/>
    <w:rsid w:val="646666C9"/>
    <w:rsid w:val="64A66A83"/>
    <w:rsid w:val="64C909A4"/>
    <w:rsid w:val="64C96D9E"/>
    <w:rsid w:val="65171FE8"/>
    <w:rsid w:val="65550A19"/>
    <w:rsid w:val="657171FE"/>
    <w:rsid w:val="65891022"/>
    <w:rsid w:val="65E43CBA"/>
    <w:rsid w:val="65F364D3"/>
    <w:rsid w:val="66325FB7"/>
    <w:rsid w:val="664839DE"/>
    <w:rsid w:val="66C37AA5"/>
    <w:rsid w:val="66F332D5"/>
    <w:rsid w:val="6709601B"/>
    <w:rsid w:val="670B371C"/>
    <w:rsid w:val="67166A67"/>
    <w:rsid w:val="674001A7"/>
    <w:rsid w:val="67514DA2"/>
    <w:rsid w:val="67617776"/>
    <w:rsid w:val="677478C8"/>
    <w:rsid w:val="67B12224"/>
    <w:rsid w:val="67ED628D"/>
    <w:rsid w:val="67F4369A"/>
    <w:rsid w:val="67FA55A3"/>
    <w:rsid w:val="67FB68A8"/>
    <w:rsid w:val="681151C8"/>
    <w:rsid w:val="68665F57"/>
    <w:rsid w:val="687E7D7B"/>
    <w:rsid w:val="693130A1"/>
    <w:rsid w:val="69790F04"/>
    <w:rsid w:val="69D07728"/>
    <w:rsid w:val="69FF6F72"/>
    <w:rsid w:val="6A906493"/>
    <w:rsid w:val="6B090729"/>
    <w:rsid w:val="6B0F11E2"/>
    <w:rsid w:val="6B83449C"/>
    <w:rsid w:val="6BF07722"/>
    <w:rsid w:val="6C0210B1"/>
    <w:rsid w:val="6C38059F"/>
    <w:rsid w:val="6C496EB7"/>
    <w:rsid w:val="6C4F2509"/>
    <w:rsid w:val="6C8947F6"/>
    <w:rsid w:val="6CF3643A"/>
    <w:rsid w:val="6D177168"/>
    <w:rsid w:val="6D691287"/>
    <w:rsid w:val="6D9632D6"/>
    <w:rsid w:val="6DCA3B30"/>
    <w:rsid w:val="6DED1766"/>
    <w:rsid w:val="6DF139EF"/>
    <w:rsid w:val="6E2179B2"/>
    <w:rsid w:val="6E3C2B6A"/>
    <w:rsid w:val="6E6E7F2A"/>
    <w:rsid w:val="6E725242"/>
    <w:rsid w:val="6E965EC4"/>
    <w:rsid w:val="6E980291"/>
    <w:rsid w:val="6E9C3E88"/>
    <w:rsid w:val="6EAF50A7"/>
    <w:rsid w:val="6EC61449"/>
    <w:rsid w:val="6ED177DA"/>
    <w:rsid w:val="6F077CB4"/>
    <w:rsid w:val="6F410D93"/>
    <w:rsid w:val="6F481985"/>
    <w:rsid w:val="6F4A74A4"/>
    <w:rsid w:val="6F4B27F6"/>
    <w:rsid w:val="6F6A1F57"/>
    <w:rsid w:val="6F6F2646"/>
    <w:rsid w:val="6F973D20"/>
    <w:rsid w:val="6FA01442"/>
    <w:rsid w:val="6FB57FD8"/>
    <w:rsid w:val="6FD04AFC"/>
    <w:rsid w:val="6FD47408"/>
    <w:rsid w:val="6FD8258B"/>
    <w:rsid w:val="6FEA15AC"/>
    <w:rsid w:val="6FF30BB6"/>
    <w:rsid w:val="700529B7"/>
    <w:rsid w:val="70065659"/>
    <w:rsid w:val="70113072"/>
    <w:rsid w:val="70173375"/>
    <w:rsid w:val="70335223"/>
    <w:rsid w:val="70676382"/>
    <w:rsid w:val="709848AF"/>
    <w:rsid w:val="70FA71EB"/>
    <w:rsid w:val="71A74D85"/>
    <w:rsid w:val="71B43E9D"/>
    <w:rsid w:val="71C80B3D"/>
    <w:rsid w:val="71CD585B"/>
    <w:rsid w:val="71F21D23"/>
    <w:rsid w:val="72201DDC"/>
    <w:rsid w:val="72401A80"/>
    <w:rsid w:val="7251199A"/>
    <w:rsid w:val="7254291F"/>
    <w:rsid w:val="7273283E"/>
    <w:rsid w:val="727D002A"/>
    <w:rsid w:val="729E5448"/>
    <w:rsid w:val="72C46456"/>
    <w:rsid w:val="72CC5B95"/>
    <w:rsid w:val="73763CFB"/>
    <w:rsid w:val="737F6B89"/>
    <w:rsid w:val="739003CE"/>
    <w:rsid w:val="739A0A38"/>
    <w:rsid w:val="73C31BFC"/>
    <w:rsid w:val="73CD470A"/>
    <w:rsid w:val="73D37218"/>
    <w:rsid w:val="73F80DD1"/>
    <w:rsid w:val="7457466E"/>
    <w:rsid w:val="74584A6B"/>
    <w:rsid w:val="74694588"/>
    <w:rsid w:val="74C04F97"/>
    <w:rsid w:val="74D12A3C"/>
    <w:rsid w:val="74F91427"/>
    <w:rsid w:val="74FA76FB"/>
    <w:rsid w:val="75055A8C"/>
    <w:rsid w:val="750D5096"/>
    <w:rsid w:val="75360B0B"/>
    <w:rsid w:val="75506770"/>
    <w:rsid w:val="75732515"/>
    <w:rsid w:val="7585185D"/>
    <w:rsid w:val="75E91581"/>
    <w:rsid w:val="75E95CFE"/>
    <w:rsid w:val="767671A5"/>
    <w:rsid w:val="77673652"/>
    <w:rsid w:val="77740D08"/>
    <w:rsid w:val="7776420B"/>
    <w:rsid w:val="778D7463"/>
    <w:rsid w:val="77AE116C"/>
    <w:rsid w:val="77C34F1B"/>
    <w:rsid w:val="77E757C4"/>
    <w:rsid w:val="78131B3E"/>
    <w:rsid w:val="784A5BBA"/>
    <w:rsid w:val="78B94CF7"/>
    <w:rsid w:val="790E68AB"/>
    <w:rsid w:val="79990A0D"/>
    <w:rsid w:val="79AE5130"/>
    <w:rsid w:val="79D704F2"/>
    <w:rsid w:val="79E7658E"/>
    <w:rsid w:val="79F57AA2"/>
    <w:rsid w:val="79F964A8"/>
    <w:rsid w:val="7A610456"/>
    <w:rsid w:val="7A6300D6"/>
    <w:rsid w:val="7AAD2AD4"/>
    <w:rsid w:val="7AC9440C"/>
    <w:rsid w:val="7B186900"/>
    <w:rsid w:val="7B3B2338"/>
    <w:rsid w:val="7BA051AE"/>
    <w:rsid w:val="7BCD512A"/>
    <w:rsid w:val="7BF42DEB"/>
    <w:rsid w:val="7C0F7FDD"/>
    <w:rsid w:val="7C425878"/>
    <w:rsid w:val="7C6832AE"/>
    <w:rsid w:val="7CA4518D"/>
    <w:rsid w:val="7CC940C8"/>
    <w:rsid w:val="7D1379BF"/>
    <w:rsid w:val="7D291B63"/>
    <w:rsid w:val="7D3B693F"/>
    <w:rsid w:val="7D7265C6"/>
    <w:rsid w:val="7DB2638E"/>
    <w:rsid w:val="7DBF35DA"/>
    <w:rsid w:val="7DC62CE6"/>
    <w:rsid w:val="7DD86484"/>
    <w:rsid w:val="7DF30332"/>
    <w:rsid w:val="7E7B17D5"/>
    <w:rsid w:val="7EBE16E3"/>
    <w:rsid w:val="7F562CC5"/>
    <w:rsid w:val="7F5A30FD"/>
    <w:rsid w:val="7F751728"/>
    <w:rsid w:val="7FB01053"/>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character" w:styleId="10">
    <w:name w:val="Hyperlink"/>
    <w:qFormat/>
    <w:uiPriority w:val="0"/>
    <w:rPr>
      <w:color w:val="0000FF"/>
      <w:u w:val="single"/>
    </w:rPr>
  </w:style>
  <w:style w:type="character" w:styleId="11">
    <w:name w:val="annotation reference"/>
    <w:unhideWhenUsed/>
    <w:qFormat/>
    <w:uiPriority w:val="0"/>
    <w:rPr>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1</TotalTime>
  <ScaleCrop>false</ScaleCrop>
  <LinksUpToDate>false</LinksUpToDate>
  <CharactersWithSpaces>0</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crcb</cp:lastModifiedBy>
  <dcterms:modified xsi:type="dcterms:W3CDTF">2026-01-26T08:58:31Z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66B70D4CEADE4E458839D430AAB3E757</vt:lpwstr>
  </property>
</Properties>
</file>