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12"/>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330</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CLZXA1M330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26"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28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03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04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18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42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u w:val="none"/>
                <w:lang w:eastAsia="zh-CN"/>
              </w:rPr>
              <w:t>【</w:t>
            </w:r>
            <w:r>
              <w:rPr>
                <w:rFonts w:ascii="宋体" w:hAnsi="宋体" w:cs="宋体"/>
                <w:color w:val="000000"/>
                <w:kern w:val="0"/>
                <w:sz w:val="24"/>
                <w:szCs w:val="24"/>
                <w:u w:val="none"/>
              </w:rPr>
              <w:t>人民银行</w:t>
            </w:r>
            <w:r>
              <w:rPr>
                <w:rFonts w:hint="eastAsia" w:ascii="宋体" w:hAnsi="宋体" w:cs="宋体"/>
                <w:color w:val="000000"/>
                <w:kern w:val="0"/>
                <w:sz w:val="24"/>
                <w:szCs w:val="24"/>
                <w:u w:val="none"/>
                <w:lang w:eastAsia="zh-CN"/>
              </w:rPr>
              <w:t>一天通知</w:t>
            </w:r>
            <w:r>
              <w:rPr>
                <w:rFonts w:ascii="宋体" w:hAnsi="宋体" w:cs="宋体"/>
                <w:color w:val="000000"/>
                <w:kern w:val="0"/>
                <w:sz w:val="24"/>
                <w:szCs w:val="24"/>
                <w:u w:val="none"/>
              </w:rPr>
              <w:t>存款利率（</w:t>
            </w:r>
            <w:r>
              <w:rPr>
                <w:rFonts w:hint="eastAsia" w:ascii="宋体" w:hAnsi="宋体" w:cs="宋体"/>
                <w:color w:val="000000"/>
                <w:kern w:val="0"/>
                <w:sz w:val="24"/>
                <w:szCs w:val="24"/>
                <w:u w:val="none"/>
                <w:lang w:val="en-US" w:eastAsia="zh-CN"/>
              </w:rPr>
              <w:t>0.80</w:t>
            </w:r>
            <w:r>
              <w:rPr>
                <w:rFonts w:ascii="宋体" w:hAnsi="宋体" w:cs="宋体"/>
                <w:color w:val="000000"/>
                <w:kern w:val="0"/>
                <w:sz w:val="24"/>
                <w:szCs w:val="24"/>
                <w:u w:val="none"/>
              </w:rPr>
              <w:t>%）+</w:t>
            </w:r>
            <w:r>
              <w:rPr>
                <w:rFonts w:hint="eastAsia" w:ascii="宋体" w:hAnsi="宋体" w:cs="宋体"/>
                <w:color w:val="000000"/>
                <w:kern w:val="0"/>
                <w:sz w:val="24"/>
                <w:szCs w:val="24"/>
                <w:u w:val="none"/>
                <w:lang w:eastAsia="zh-CN"/>
              </w:rPr>
              <w:t>（</w:t>
            </w:r>
            <w:r>
              <w:rPr>
                <w:rFonts w:hint="eastAsia" w:ascii="宋体" w:hAnsi="宋体" w:cs="宋体"/>
                <w:color w:val="000000"/>
                <w:kern w:val="0"/>
                <w:sz w:val="24"/>
                <w:szCs w:val="24"/>
                <w:u w:val="none"/>
                <w:lang w:val="en-US" w:eastAsia="zh-CN"/>
              </w:rPr>
              <w:t>0.55</w:t>
            </w:r>
            <w:r>
              <w:rPr>
                <w:rFonts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-1.55%）</w:t>
            </w:r>
            <w:r>
              <w:rPr>
                <w:rFonts w:hint="eastAsia" w:ascii="宋体" w:hAnsi="宋体" w:cs="宋体"/>
                <w:color w:val="000000"/>
                <w:kern w:val="0"/>
                <w:sz w:val="24"/>
                <w:szCs w:val="24"/>
                <w:u w:val="none"/>
                <w:lang w:eastAsia="zh-CN"/>
              </w:rPr>
              <w:t>】</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1.35%-2.35</w:t>
            </w:r>
            <w:bookmarkStart w:id="8" w:name="_GoBack"/>
            <w:bookmarkEnd w:id="8"/>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u w:val="none"/>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156" w:beforeLines="50" w:line="480" w:lineRule="exact"/>
        <w:rPr>
          <w:rFonts w:ascii="方正大标宋简体" w:hAnsi="宋体" w:eastAsia="方正大标宋简体"/>
          <w:b/>
          <w:sz w:val="36"/>
        </w:rPr>
      </w:pPr>
    </w:p>
    <w:p>
      <w:pPr>
        <w:snapToGrid w:val="0"/>
        <w:spacing w:before="156"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9264;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156" w:beforeLines="50" w:line="480" w:lineRule="exact"/>
        <w:jc w:val="center"/>
        <w:rPr>
          <w:rFonts w:ascii="方正大标宋简体" w:hAnsi="宋体" w:eastAsia="方正大标宋简体"/>
          <w:b/>
          <w:sz w:val="36"/>
        </w:rPr>
      </w:pPr>
    </w:p>
    <w:p>
      <w:pPr>
        <w:snapToGrid w:val="0"/>
        <w:spacing w:before="156"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156"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C1115421000006</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A1</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w:t>
            </w:r>
            <w:r>
              <w:rPr>
                <w:rFonts w:hint="eastAsia" w:eastAsia="楷体_GB2312"/>
                <w:lang w:eastAsia="zh-CN"/>
              </w:rPr>
              <w:t>常熟农商银行发布的公告</w:t>
            </w:r>
            <w:r>
              <w:rPr>
                <w:rFonts w:hint="eastAsia" w:eastAsia="楷体_GB2312"/>
              </w:rPr>
              <w:t>。</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天通知存款基准利率水平，考虑拟投资资产的市场价格表现、波动幅度、在投资组合中的占比，预判在扣除固定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eastAsia="楷体_GB2312"/>
                <w:b/>
                <w:szCs w:val="21"/>
                <w:u w:val="single"/>
              </w:rPr>
              <w:t>2</w:t>
            </w:r>
            <w:r>
              <w:rPr>
                <w:rFonts w:hint="eastAsia" w:eastAsia="楷体_GB2312"/>
                <w:b/>
                <w:szCs w:val="21"/>
                <w:u w:val="single"/>
              </w:rPr>
              <w:t>月</w:t>
            </w:r>
            <w:r>
              <w:rPr>
                <w:rFonts w:eastAsia="楷体_GB2312"/>
                <w:b/>
                <w:szCs w:val="21"/>
                <w:u w:val="single"/>
              </w:rPr>
              <w:t>10</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2021年2月</w:t>
            </w:r>
            <w:r>
              <w:rPr>
                <w:rFonts w:eastAsia="楷体_GB2312"/>
                <w:b/>
                <w:szCs w:val="21"/>
                <w:u w:val="single"/>
              </w:rPr>
              <w:t>18</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w:t>
            </w:r>
            <w:r>
              <w:rPr>
                <w:rFonts w:eastAsia="楷体_GB2312"/>
                <w:b/>
                <w:bCs/>
                <w:u w:val="single"/>
              </w:rPr>
              <w:t>19</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w:t>
            </w:r>
            <w:r>
              <w:rPr>
                <w:rFonts w:eastAsia="楷体_GB2312"/>
                <w:b/>
                <w:bCs/>
                <w:u w:val="single"/>
              </w:rPr>
              <w:t>19</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w:t>
            </w:r>
            <w:r>
              <w:rPr>
                <w:rFonts w:hint="default" w:ascii="Times New Roman" w:hAnsi="Times New Roman" w:eastAsia="楷体_GB2312"/>
                <w:bCs/>
                <w:lang w:val="en-US"/>
              </w:rPr>
              <w:t>日</w:t>
            </w:r>
            <w:r>
              <w:rPr>
                <w:rFonts w:hint="eastAsia" w:ascii="Times New Roman" w:hAnsi="Times New Roman" w:eastAsia="楷体_GB2312"/>
                <w:bCs/>
              </w:rPr>
              <w:t>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w:t>
            </w:r>
            <w:r>
              <w:rPr>
                <w:rFonts w:eastAsia="楷体_GB2312"/>
                <w:b/>
                <w:bCs/>
              </w:rPr>
              <w:t>1</w:t>
            </w:r>
            <w:r>
              <w:rPr>
                <w:rFonts w:hint="eastAsia" w:eastAsia="楷体_GB2312"/>
                <w:b/>
                <w:bCs/>
                <w:lang w:val="en-US" w:eastAsia="zh-CN"/>
              </w:rPr>
              <w:t>9</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rPr>
              <w:t>认购费：</w:t>
            </w:r>
            <w:r>
              <w:rPr>
                <w:rFonts w:ascii="楷体_GB2312" w:hAnsi="Times New Roman" w:eastAsia="楷体_GB2312"/>
                <w:b/>
                <w:bCs/>
                <w:u w:val="single"/>
              </w:rPr>
              <w:t>0%/</w:t>
            </w:r>
            <w:r>
              <w:rPr>
                <w:rFonts w:hint="eastAsia" w:ascii="楷体_GB2312" w:hAnsi="Times New Roman" w:eastAsia="楷体_GB2312"/>
                <w:b/>
                <w:bCs/>
                <w:u w:val="single"/>
              </w:rPr>
              <w:t>年</w:t>
            </w:r>
            <w:r>
              <w:rPr>
                <w:rFonts w:hint="eastAsia" w:ascii="楷体_GB2312" w:hAnsi="Times New Roman" w:eastAsia="楷体_GB2312"/>
                <w:b/>
                <w:bCs/>
              </w:rPr>
              <w:t>；</w:t>
            </w:r>
          </w:p>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rPr>
              <w:t>申购费</w:t>
            </w:r>
            <w:r>
              <w:rPr>
                <w:rFonts w:hint="eastAsia" w:ascii="楷体_GB2312" w:hAnsi="Times New Roman" w:eastAsia="楷体_GB2312"/>
                <w:b/>
                <w:bCs/>
                <w:u w:val="single"/>
              </w:rPr>
              <w:t>：</w:t>
            </w:r>
            <w:r>
              <w:rPr>
                <w:rFonts w:ascii="楷体_GB2312" w:hAnsi="Times New Roman" w:eastAsia="楷体_GB2312"/>
                <w:b/>
                <w:bCs/>
                <w:u w:val="single"/>
              </w:rPr>
              <w:t>0%/</w:t>
            </w:r>
            <w:r>
              <w:rPr>
                <w:rFonts w:hint="eastAsia" w:ascii="楷体_GB2312" w:hAnsi="Times New Roman" w:eastAsia="楷体_GB2312"/>
                <w:b/>
                <w:bCs/>
                <w:u w:val="single"/>
              </w:rPr>
              <w:t>年</w:t>
            </w:r>
            <w:r>
              <w:rPr>
                <w:rFonts w:hint="eastAsia" w:ascii="楷体_GB2312" w:hAnsi="Times New Roman" w:eastAsia="楷体_GB2312"/>
                <w:b/>
                <w:bCs/>
              </w:rPr>
              <w:t>；</w:t>
            </w:r>
          </w:p>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rPr>
              <w:t>赎回费：</w:t>
            </w:r>
            <w:r>
              <w:rPr>
                <w:rFonts w:ascii="楷体_GB2312" w:hAnsi="Times New Roman" w:eastAsia="楷体_GB2312"/>
                <w:b/>
                <w:bCs/>
                <w:u w:val="single"/>
              </w:rPr>
              <w:t>0%/</w:t>
            </w:r>
            <w:r>
              <w:rPr>
                <w:rFonts w:hint="eastAsia" w:ascii="楷体_GB2312" w:hAnsi="Times New Roman" w:eastAsia="楷体_GB2312"/>
                <w:b/>
                <w:bCs/>
                <w:u w:val="single"/>
              </w:rPr>
              <w:t>年</w:t>
            </w:r>
            <w:r>
              <w:rPr>
                <w:rFonts w:hint="eastAsia" w:ascii="楷体_GB2312" w:hAnsi="Times New Roman" w:eastAsia="楷体_GB2312"/>
                <w:b/>
                <w:bCs/>
              </w:rPr>
              <w:t>；</w:t>
            </w:r>
          </w:p>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lang w:val="en-US" w:eastAsia="zh-CN"/>
              </w:rPr>
              <w:t>固定</w:t>
            </w:r>
            <w:r>
              <w:rPr>
                <w:rFonts w:hint="eastAsia" w:ascii="楷体_GB2312" w:hAnsi="Times New Roman" w:eastAsia="楷体_GB2312"/>
                <w:b/>
                <w:bCs/>
              </w:rPr>
              <w:t>管理费、托管费：</w:t>
            </w:r>
          </w:p>
          <w:p>
            <w:pPr>
              <w:spacing w:line="360" w:lineRule="exact"/>
              <w:rPr>
                <w:rFonts w:ascii="楷体_GB2312" w:eastAsia="楷体_GB2312"/>
                <w:b/>
                <w:bCs/>
              </w:rPr>
            </w:pPr>
            <w:r>
              <w:rPr>
                <w:rFonts w:hint="eastAsia" w:ascii="楷体_GB2312" w:hAnsi="Times New Roman" w:eastAsia="楷体_GB2312"/>
                <w:b/>
                <w:bCs/>
              </w:rPr>
              <w:t>本产品按照资产净值的</w:t>
            </w:r>
            <w:r>
              <w:rPr>
                <w:rFonts w:ascii="楷体_GB2312" w:hAnsi="Times New Roman" w:eastAsia="楷体_GB2312"/>
                <w:b/>
                <w:bCs/>
                <w:u w:val="single"/>
              </w:rPr>
              <w:t>0.5%/</w:t>
            </w:r>
            <w:r>
              <w:rPr>
                <w:rFonts w:hint="eastAsia" w:ascii="楷体_GB2312" w:hAnsi="Times New Roman" w:eastAsia="楷体_GB2312"/>
                <w:b/>
                <w:bCs/>
                <w:u w:val="single"/>
              </w:rPr>
              <w:t>年</w:t>
            </w:r>
            <w:r>
              <w:rPr>
                <w:rFonts w:hint="eastAsia" w:ascii="楷体_GB2312" w:hAnsi="Times New Roman" w:eastAsia="楷体_GB2312"/>
                <w:b/>
                <w:bCs/>
              </w:rPr>
              <w:t>提取固定管理费</w:t>
            </w:r>
            <w:r>
              <w:rPr>
                <w:rFonts w:hint="eastAsia" w:ascii="楷体_GB2312" w:eastAsia="楷体_GB2312"/>
                <w:b/>
                <w:bCs/>
              </w:rPr>
              <w:t>。</w:t>
            </w:r>
          </w:p>
          <w:p>
            <w:pPr>
              <w:spacing w:line="360" w:lineRule="exact"/>
              <w:rPr>
                <w:rFonts w:ascii="楷体_GB2312" w:hAnsi="Times New Roman" w:eastAsia="楷体_GB2312"/>
                <w:b/>
                <w:bCs/>
              </w:rPr>
            </w:pPr>
            <w:r>
              <w:rPr>
                <w:rFonts w:hint="eastAsia" w:ascii="楷体_GB2312" w:hAnsi="Times New Roman" w:eastAsia="楷体_GB2312"/>
                <w:b/>
                <w:bCs/>
              </w:rPr>
              <w:t>每日计提的固定管理费</w:t>
            </w:r>
            <w:r>
              <w:rPr>
                <w:rFonts w:ascii="楷体_GB2312" w:hAnsi="Times New Roman" w:eastAsia="楷体_GB2312"/>
                <w:b/>
                <w:bCs/>
              </w:rPr>
              <w:t>=</w:t>
            </w:r>
            <w:r>
              <w:rPr>
                <w:rFonts w:hint="eastAsia" w:ascii="楷体_GB2312" w:hAnsi="Times New Roman" w:eastAsia="楷体_GB2312"/>
                <w:b/>
                <w:bCs/>
              </w:rPr>
              <w:t>每日资产净值×</w:t>
            </w:r>
            <w:r>
              <w:rPr>
                <w:rFonts w:ascii="楷体_GB2312" w:hAnsi="Times New Roman" w:eastAsia="楷体_GB2312"/>
                <w:b/>
                <w:bCs/>
                <w:u w:val="single"/>
              </w:rPr>
              <w:t>0.5</w:t>
            </w:r>
            <w:r>
              <w:rPr>
                <w:rFonts w:ascii="楷体_GB2312" w:hAnsi="Times New Roman" w:eastAsia="楷体_GB2312"/>
                <w:b/>
                <w:bCs/>
              </w:rPr>
              <w:t>%</w:t>
            </w:r>
            <w:r>
              <w:rPr>
                <w:rFonts w:hint="eastAsia" w:ascii="楷体_GB2312" w:hAnsi="Times New Roman" w:eastAsia="楷体_GB2312"/>
                <w:b/>
                <w:bCs/>
              </w:rPr>
              <w:t>／</w:t>
            </w:r>
            <w:r>
              <w:rPr>
                <w:rFonts w:ascii="楷体_GB2312" w:hAnsi="Times New Roman" w:eastAsia="楷体_GB2312"/>
                <w:b/>
                <w:bCs/>
              </w:rPr>
              <w:t>365</w:t>
            </w:r>
          </w:p>
          <w:p>
            <w:pPr>
              <w:spacing w:line="360" w:lineRule="exact"/>
              <w:rPr>
                <w:rFonts w:ascii="楷体_GB2312" w:hAnsi="Times New Roman" w:eastAsia="楷体_GB2312"/>
                <w:b/>
                <w:bCs/>
              </w:rPr>
            </w:pPr>
            <w:r>
              <w:rPr>
                <w:rFonts w:hint="eastAsia" w:ascii="楷体_GB2312" w:hAnsi="Times New Roman" w:eastAsia="楷体_GB2312"/>
                <w:b/>
                <w:bCs/>
              </w:rPr>
              <w:t>本产品按照资产净值的</w:t>
            </w:r>
            <w:r>
              <w:rPr>
                <w:rFonts w:ascii="楷体_GB2312" w:hAnsi="Times New Roman" w:eastAsia="楷体_GB2312"/>
                <w:b/>
                <w:bCs/>
                <w:u w:val="single"/>
              </w:rPr>
              <w:t>0.01%/</w:t>
            </w:r>
            <w:r>
              <w:rPr>
                <w:rFonts w:hint="eastAsia" w:ascii="楷体_GB2312" w:hAnsi="Times New Roman" w:eastAsia="楷体_GB2312"/>
                <w:b/>
                <w:bCs/>
                <w:u w:val="single"/>
              </w:rPr>
              <w:t>年</w:t>
            </w:r>
            <w:r>
              <w:rPr>
                <w:rFonts w:hint="eastAsia" w:ascii="楷体_GB2312" w:hAnsi="Times New Roman" w:eastAsia="楷体_GB2312"/>
                <w:b/>
                <w:bCs/>
              </w:rPr>
              <w:t>提取托管费。</w:t>
            </w:r>
          </w:p>
          <w:p>
            <w:pPr>
              <w:spacing w:line="360" w:lineRule="exact"/>
              <w:rPr>
                <w:rFonts w:ascii="楷体_GB2312" w:hAnsi="Times New Roman" w:eastAsia="楷体_GB2312"/>
                <w:b/>
                <w:bCs/>
              </w:rPr>
            </w:pPr>
            <w:r>
              <w:rPr>
                <w:rFonts w:hint="eastAsia" w:ascii="楷体_GB2312" w:hAnsi="Times New Roman" w:eastAsia="楷体_GB2312"/>
                <w:b/>
                <w:bCs/>
              </w:rPr>
              <w:t>每日计提的托管费</w:t>
            </w:r>
            <w:r>
              <w:rPr>
                <w:rFonts w:ascii="楷体_GB2312" w:hAnsi="Times New Roman" w:eastAsia="楷体_GB2312"/>
                <w:b/>
                <w:bCs/>
              </w:rPr>
              <w:t>=</w:t>
            </w:r>
            <w:r>
              <w:rPr>
                <w:rFonts w:hint="eastAsia" w:ascii="楷体_GB2312" w:hAnsi="Times New Roman" w:eastAsia="楷体_GB2312"/>
                <w:b/>
                <w:bCs/>
              </w:rPr>
              <w:t>每日资产净值×</w:t>
            </w:r>
            <w:r>
              <w:rPr>
                <w:rFonts w:ascii="楷体_GB2312" w:hAnsi="Times New Roman" w:eastAsia="楷体_GB2312"/>
                <w:b/>
                <w:bCs/>
                <w:u w:val="single"/>
              </w:rPr>
              <w:t>0.01</w:t>
            </w:r>
            <w:r>
              <w:rPr>
                <w:rFonts w:ascii="楷体_GB2312" w:hAnsi="Times New Roman" w:eastAsia="楷体_GB2312"/>
                <w:b/>
                <w:bCs/>
              </w:rPr>
              <w:t>%</w:t>
            </w:r>
            <w:r>
              <w:rPr>
                <w:rFonts w:hint="eastAsia" w:ascii="楷体_GB2312" w:hAnsi="Times New Roman" w:eastAsia="楷体_GB2312"/>
                <w:b/>
                <w:bCs/>
              </w:rPr>
              <w:t>／</w:t>
            </w:r>
            <w:r>
              <w:rPr>
                <w:rFonts w:ascii="楷体_GB2312" w:hAnsi="Times New Roman" w:eastAsia="楷体_GB2312"/>
                <w:b/>
                <w:bCs/>
              </w:rPr>
              <w:t>365</w:t>
            </w:r>
          </w:p>
          <w:p>
            <w:pPr>
              <w:spacing w:line="360" w:lineRule="exact"/>
              <w:rPr>
                <w:rFonts w:hint="eastAsia" w:ascii="楷体_GB2312" w:hAnsi="Times New Roman" w:eastAsia="楷体_GB2312"/>
                <w:b/>
                <w:bCs/>
              </w:rPr>
            </w:pPr>
            <w:r>
              <w:rPr>
                <w:rFonts w:hint="eastAsia" w:ascii="楷体_GB2312" w:hAnsi="Times New Roman" w:eastAsia="楷体_GB2312"/>
                <w:b/>
                <w:bCs/>
              </w:rPr>
              <w:t>产品固定管理费、托管费每日计提</w:t>
            </w:r>
            <w:r>
              <w:rPr>
                <w:rFonts w:hint="eastAsia"/>
                <w:b/>
                <w:bCs/>
              </w:rPr>
              <w:t>，</w:t>
            </w:r>
            <w:r>
              <w:rPr>
                <w:rFonts w:hint="eastAsia" w:ascii="楷体_GB2312" w:hAnsi="Times New Roman" w:eastAsia="楷体_GB2312"/>
                <w:b/>
                <w:bCs/>
              </w:rPr>
              <w:t>管理人有权根据实际情况自行提取固定管理费。</w:t>
            </w:r>
          </w:p>
          <w:p>
            <w:pPr>
              <w:spacing w:line="360" w:lineRule="exact"/>
              <w:rPr>
                <w:rFonts w:hint="eastAsia" w:ascii="楷体_GB2312" w:hAnsi="Times New Roman" w:eastAsia="楷体_GB2312"/>
                <w:b/>
                <w:bCs/>
                <w:lang w:val="en-US" w:eastAsia="zh-CN"/>
              </w:rPr>
            </w:pPr>
            <w:r>
              <w:rPr>
                <w:rFonts w:hint="eastAsia" w:ascii="楷体_GB2312" w:hAnsi="Times New Roman" w:eastAsia="楷体_GB2312"/>
                <w:b/>
                <w:bCs/>
                <w:lang w:val="en-US" w:eastAsia="zh-CN"/>
              </w:rPr>
              <w:t>5、</w:t>
            </w:r>
            <w:r>
              <w:rPr>
                <w:rFonts w:hint="eastAsia" w:eastAsia="楷体_GB2312"/>
                <w:b/>
                <w:bCs/>
                <w:lang w:val="en-US" w:eastAsia="zh-CN"/>
              </w:rPr>
              <w:t>超额</w:t>
            </w:r>
            <w:r>
              <w:rPr>
                <w:rFonts w:hint="eastAsia" w:eastAsia="楷体_GB2312"/>
                <w:b/>
                <w:bCs/>
              </w:rPr>
              <w:t>业绩报酬：如产品收益（扣除固定管理费</w:t>
            </w:r>
            <w:r>
              <w:rPr>
                <w:rFonts w:hint="eastAsia" w:eastAsia="楷体_GB2312"/>
                <w:b/>
                <w:bCs/>
                <w:lang w:eastAsia="zh-CN"/>
              </w:rPr>
              <w:t>、</w:t>
            </w:r>
            <w:r>
              <w:rPr>
                <w:rFonts w:hint="eastAsia" w:eastAsia="楷体_GB2312"/>
                <w:b/>
                <w:bCs/>
              </w:rPr>
              <w:t>托管费等相关费用）超过业绩</w:t>
            </w:r>
            <w:r>
              <w:rPr>
                <w:rFonts w:hint="eastAsia" w:eastAsia="楷体_GB2312"/>
                <w:b/>
                <w:bCs/>
                <w:lang w:val="en-US" w:eastAsia="zh-CN"/>
              </w:rPr>
              <w:t>比较</w:t>
            </w:r>
            <w:r>
              <w:rPr>
                <w:rFonts w:hint="eastAsia" w:eastAsia="楷体_GB2312"/>
                <w:b/>
                <w:bCs/>
              </w:rPr>
              <w:t>基准</w:t>
            </w:r>
            <w:r>
              <w:rPr>
                <w:rFonts w:hint="eastAsia" w:eastAsia="楷体_GB2312"/>
                <w:b/>
                <w:bCs/>
                <w:lang w:eastAsia="zh-CN"/>
              </w:rPr>
              <w:t>下限</w:t>
            </w:r>
            <w:r>
              <w:rPr>
                <w:rFonts w:hint="eastAsia" w:eastAsia="楷体_GB2312"/>
                <w:b/>
                <w:bCs/>
                <w:lang w:val="en-US" w:eastAsia="zh-CN"/>
              </w:rPr>
              <w:t>的</w:t>
            </w:r>
            <w:r>
              <w:rPr>
                <w:rFonts w:hint="eastAsia" w:eastAsia="楷体_GB2312"/>
                <w:b/>
                <w:bCs/>
              </w:rPr>
              <w:t>，</w:t>
            </w:r>
            <w:r>
              <w:rPr>
                <w:rFonts w:hint="eastAsia" w:ascii="Times New Roman" w:hAnsi="Times New Roman" w:eastAsia="楷体_GB2312"/>
                <w:b/>
                <w:bCs/>
              </w:rPr>
              <w:t>超</w:t>
            </w:r>
            <w:r>
              <w:rPr>
                <w:rFonts w:hint="eastAsia" w:ascii="Times New Roman" w:hAnsi="Times New Roman" w:eastAsia="楷体_GB2312"/>
                <w:b/>
                <w:bCs/>
                <w:lang w:val="en-US" w:eastAsia="zh-CN"/>
              </w:rPr>
              <w:t>过</w:t>
            </w:r>
            <w:r>
              <w:rPr>
                <w:rFonts w:hint="eastAsia" w:ascii="Times New Roman" w:hAnsi="Times New Roman" w:eastAsia="楷体_GB2312"/>
                <w:b/>
                <w:bCs/>
              </w:rPr>
              <w:t>部分的8</w:t>
            </w:r>
            <w:r>
              <w:rPr>
                <w:rFonts w:ascii="Times New Roman" w:hAnsi="Times New Roman" w:eastAsia="楷体_GB2312"/>
                <w:b/>
                <w:bCs/>
              </w:rPr>
              <w:t>0</w:t>
            </w:r>
            <w:r>
              <w:rPr>
                <w:rFonts w:hint="eastAsia" w:ascii="Times New Roman" w:hAnsi="Times New Roman" w:eastAsia="楷体_GB2312"/>
                <w:b/>
                <w:bCs/>
              </w:rPr>
              <w:t>%作为</w:t>
            </w:r>
            <w:r>
              <w:rPr>
                <w:rFonts w:hint="eastAsia" w:ascii="Times New Roman" w:hAnsi="Times New Roman" w:eastAsia="楷体_GB2312"/>
                <w:b/>
                <w:bCs/>
                <w:lang w:val="en-US" w:eastAsia="zh-CN"/>
              </w:rPr>
              <w:t>超额</w:t>
            </w:r>
            <w:r>
              <w:rPr>
                <w:rFonts w:hint="eastAsia" w:ascii="Times New Roman" w:hAnsi="Times New Roman" w:eastAsia="楷体_GB2312"/>
                <w:b/>
                <w:bCs/>
              </w:rPr>
              <w:t>业绩报酬由管理人收取</w:t>
            </w:r>
            <w:r>
              <w:rPr>
                <w:rFonts w:hint="eastAsia" w:ascii="Times New Roman" w:hAnsi="Times New Roman" w:eastAsia="楷体_GB2312"/>
                <w:b/>
                <w:bCs/>
                <w:lang w:eastAsia="zh-CN"/>
              </w:rPr>
              <w:t>，</w:t>
            </w:r>
            <w:r>
              <w:rPr>
                <w:rFonts w:hint="eastAsia" w:ascii="Times New Roman" w:hAnsi="Times New Roman" w:eastAsia="楷体_GB2312"/>
                <w:b/>
                <w:bCs/>
                <w:lang w:val="en-US" w:eastAsia="zh-CN"/>
              </w:rPr>
              <w:t>其余20%归投资者所有</w:t>
            </w:r>
            <w:r>
              <w:rPr>
                <w:rFonts w:hint="eastAsia" w:ascii="Times New Roman" w:hAnsi="Times New Roman" w:eastAsia="楷体_GB2312"/>
                <w:b/>
                <w:bCs/>
              </w:rPr>
              <w:t>。</w:t>
            </w:r>
          </w:p>
          <w:p>
            <w:pPr>
              <w:spacing w:line="360" w:lineRule="exact"/>
              <w:rPr>
                <w:rFonts w:ascii="Times New Roman" w:hAnsi="Times New Roman" w:eastAsia="楷体_GB2312"/>
              </w:rPr>
            </w:pPr>
            <w:r>
              <w:rPr>
                <w:rFonts w:hint="eastAsia" w:ascii="楷体_GB2312" w:hAnsi="Times New Roman" w:eastAsia="楷体_GB2312"/>
                <w:lang w:val="en-US" w:eastAsia="zh-CN"/>
              </w:rPr>
              <w:t>6、</w:t>
            </w:r>
            <w:r>
              <w:rPr>
                <w:rFonts w:hint="eastAsia" w:ascii="楷体_GB2312" w:hAnsi="Times New Roman" w:eastAsia="楷体_GB2312"/>
              </w:rPr>
              <w:t>其他费用详见本产品说明书第三部分“产品的相关费用及收益与分配”。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w:t>
      </w:r>
      <w:r>
        <w:rPr>
          <w:rFonts w:hint="eastAsia" w:ascii="楷体" w:hAnsi="楷体" w:eastAsia="楷体" w:cs="楷体"/>
          <w:b/>
          <w:bCs/>
          <w:lang w:val="en-US" w:eastAsia="zh-CN"/>
        </w:rPr>
        <w:t>日</w:t>
      </w:r>
      <w:r>
        <w:rPr>
          <w:rFonts w:hint="eastAsia" w:ascii="楷体" w:hAnsi="楷体" w:eastAsia="楷体" w:cs="楷体"/>
          <w:b/>
          <w:bCs/>
        </w:rPr>
        <w:t>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w:t>
      </w:r>
      <w:r>
        <w:rPr>
          <w:rFonts w:eastAsia="楷体_GB2312"/>
        </w:rPr>
        <w:t>35</w:t>
      </w:r>
      <w:r>
        <w:rPr>
          <w:rFonts w:hint="eastAsia" w:eastAsia="楷体_GB2312"/>
        </w:rPr>
        <w:t>天，假设赎回日前一</w:t>
      </w:r>
      <w:r>
        <w:rPr>
          <w:rFonts w:hint="eastAsia" w:eastAsia="楷体_GB2312"/>
          <w:lang w:val="en-US" w:eastAsia="zh-CN"/>
        </w:rPr>
        <w:t>日</w:t>
      </w:r>
      <w:r>
        <w:rPr>
          <w:rFonts w:hint="eastAsia" w:eastAsia="楷体_GB2312"/>
        </w:rPr>
        <w:t>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w:t>
      </w:r>
      <w:r>
        <w:rPr>
          <w:rFonts w:eastAsia="楷体_GB2312"/>
        </w:rPr>
        <w:t>9</w:t>
      </w:r>
      <w:r>
        <w:rPr>
          <w:rFonts w:hint="eastAsia" w:eastAsia="楷体_GB2312"/>
        </w:rPr>
        <w:t>日起开放申购，正常情况下每周开放，具体发行</w:t>
      </w:r>
      <w:r>
        <w:rPr>
          <w:rFonts w:hint="eastAsia" w:eastAsia="楷体_GB2312"/>
          <w:lang w:eastAsia="zh-CN"/>
        </w:rPr>
        <w:t>详见常熟农商银行各理财销售渠道</w:t>
      </w:r>
      <w:r>
        <w:rPr>
          <w:rFonts w:hint="eastAsia" w:eastAsia="楷体_GB2312"/>
        </w:rPr>
        <w:t>：</w:t>
      </w:r>
    </w:p>
    <w:tbl>
      <w:tblPr>
        <w:tblStyle w:val="12"/>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/02/10</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/18</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/19</w:t>
            </w:r>
          </w:p>
        </w:tc>
        <w:tc>
          <w:tcPr>
            <w:tcW w:w="1890" w:type="dxa"/>
            <w:vAlign w:val="center"/>
          </w:tcPr>
          <w:p>
            <w:pPr>
              <w:spacing w:line="360" w:lineRule="exact"/>
              <w:jc w:val="center"/>
              <w:rPr>
                <w:rFonts w:eastAsia="楷体_GB2312"/>
              </w:rPr>
            </w:pPr>
            <w:r>
              <w:rPr>
                <w:rFonts w:eastAsia="楷体_GB2312"/>
              </w:rPr>
              <w:t>33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w:t>
            </w:r>
            <w:r>
              <w:rPr>
                <w:rFonts w:eastAsia="楷体_GB2312"/>
              </w:rPr>
              <w:t>3/24</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hint="eastAsia" w:eastAsia="楷体_GB2312"/>
          <w:b/>
          <w:bCs/>
        </w:rPr>
      </w:pPr>
      <w:r>
        <w:rPr>
          <w:rFonts w:eastAsia="楷体_GB2312"/>
        </w:rPr>
        <w:t>2</w:t>
      </w:r>
      <w:r>
        <w:rPr>
          <w:rFonts w:hint="eastAsia" w:eastAsia="楷体_GB2312"/>
        </w:rPr>
        <w:t>、业绩比较基准（</w:t>
      </w:r>
      <w:r>
        <w:rPr>
          <w:rFonts w:hint="eastAsia" w:eastAsia="楷体_GB2312"/>
          <w:lang w:eastAsia="zh-CN"/>
        </w:rPr>
        <w:t>【</w:t>
      </w:r>
      <w:r>
        <w:rPr>
          <w:rFonts w:eastAsia="楷体_GB2312"/>
        </w:rPr>
        <w:t>R</w:t>
      </w:r>
      <w:r>
        <w:rPr>
          <w:rFonts w:hint="eastAsia" w:eastAsia="楷体_GB2312"/>
          <w:lang w:val="en-US" w:eastAsia="zh-CN"/>
        </w:rPr>
        <w:t>1-R2</w:t>
      </w:r>
      <w:r>
        <w:rPr>
          <w:rFonts w:hint="eastAsia" w:eastAsia="楷体_GB2312"/>
          <w:lang w:eastAsia="zh-CN"/>
        </w:rPr>
        <w:t>】</w:t>
      </w:r>
      <w:r>
        <w:rPr>
          <w:rFonts w:hint="eastAsia" w:eastAsia="楷体_GB2312"/>
        </w:rPr>
        <w:t>）：募集期及开放期内业绩比较基准详见常熟农商银行</w:t>
      </w:r>
      <w:r>
        <w:rPr>
          <w:rFonts w:hint="eastAsia" w:eastAsia="楷体_GB2312"/>
          <w:lang w:eastAsia="zh-CN"/>
        </w:rPr>
        <w:t>各理财销售渠道</w:t>
      </w:r>
      <w:r>
        <w:rPr>
          <w:rFonts w:hint="eastAsia" w:eastAsia="楷体_GB2312"/>
        </w:rPr>
        <w:t>。</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hint="default" w:eastAsia="楷体_GB2312"/>
          <w:b w:val="0"/>
          <w:bCs w:val="0"/>
          <w:lang w:val="en-US" w:eastAsia="zh-CN"/>
        </w:rPr>
      </w:pPr>
      <w:r>
        <w:rPr>
          <w:rFonts w:hint="eastAsia" w:eastAsia="楷体_GB2312"/>
          <w:b w:val="0"/>
          <w:bCs w:val="0"/>
          <w:lang w:val="en-US" w:eastAsia="zh-CN"/>
        </w:rPr>
        <w:t>R1为本理财产品业绩比较基准下限，R2为本理财产品业绩比较基准上限。</w:t>
      </w:r>
    </w:p>
    <w:p>
      <w:pPr>
        <w:snapToGrid w:val="0"/>
        <w:spacing w:line="360" w:lineRule="atLeast"/>
        <w:ind w:left="19" w:firstLine="338" w:firstLineChars="161"/>
        <w:rPr>
          <w:rFonts w:eastAsia="楷体_GB2312"/>
        </w:rPr>
      </w:pPr>
      <w:r>
        <w:rPr>
          <w:rFonts w:eastAsia="楷体_GB2312"/>
        </w:rPr>
        <w:t>3</w:t>
      </w:r>
      <w:r>
        <w:rPr>
          <w:rFonts w:hint="eastAsia" w:eastAsia="楷体_GB2312"/>
        </w:rPr>
        <w:t>、</w:t>
      </w:r>
      <w:r>
        <w:rPr>
          <w:rFonts w:hint="eastAsia" w:eastAsia="楷体_GB2312"/>
          <w:lang w:val="en-US" w:eastAsia="zh-CN"/>
        </w:rPr>
        <w:t>超额</w:t>
      </w:r>
      <w:r>
        <w:rPr>
          <w:rFonts w:hint="eastAsia" w:eastAsia="楷体_GB2312"/>
        </w:rPr>
        <w:t>业绩报酬：如产品收益（扣除固定管理费</w:t>
      </w:r>
      <w:r>
        <w:rPr>
          <w:rFonts w:hint="eastAsia" w:eastAsia="楷体_GB2312"/>
          <w:lang w:eastAsia="zh-CN"/>
        </w:rPr>
        <w:t>、</w:t>
      </w:r>
      <w:r>
        <w:rPr>
          <w:rFonts w:hint="eastAsia" w:eastAsia="楷体_GB2312"/>
        </w:rPr>
        <w:t>托管费等相关费用）超过业绩</w:t>
      </w:r>
      <w:r>
        <w:rPr>
          <w:rFonts w:hint="eastAsia" w:eastAsia="楷体_GB2312"/>
          <w:lang w:val="en-US" w:eastAsia="zh-CN"/>
        </w:rPr>
        <w:t>比较</w:t>
      </w:r>
      <w:r>
        <w:rPr>
          <w:rFonts w:hint="eastAsia" w:eastAsia="楷体_GB2312"/>
        </w:rPr>
        <w:t>基准</w:t>
      </w:r>
      <w:r>
        <w:rPr>
          <w:rFonts w:hint="eastAsia" w:eastAsia="楷体_GB2312"/>
          <w:lang w:eastAsia="zh-CN"/>
        </w:rPr>
        <w:t>下限</w:t>
      </w:r>
      <w:r>
        <w:rPr>
          <w:rFonts w:hint="eastAsia" w:eastAsia="楷体_GB2312"/>
          <w:lang w:val="en-US" w:eastAsia="zh-CN"/>
        </w:rPr>
        <w:t>R1</w:t>
      </w:r>
      <w:r>
        <w:rPr>
          <w:rFonts w:hint="eastAsia" w:eastAsia="楷体_GB2312"/>
        </w:rPr>
        <w:t>时，</w:t>
      </w:r>
      <w:r>
        <w:rPr>
          <w:rFonts w:hint="eastAsia" w:ascii="Times New Roman" w:hAnsi="Times New Roman" w:eastAsia="楷体_GB2312"/>
        </w:rPr>
        <w:t>超</w:t>
      </w:r>
      <w:r>
        <w:rPr>
          <w:rFonts w:hint="eastAsia" w:ascii="Times New Roman" w:hAnsi="Times New Roman" w:eastAsia="楷体_GB2312"/>
          <w:lang w:val="en-US" w:eastAsia="zh-CN"/>
        </w:rPr>
        <w:t>过</w:t>
      </w:r>
      <w:r>
        <w:rPr>
          <w:rFonts w:hint="eastAsia" w:ascii="Times New Roman" w:hAnsi="Times New Roman" w:eastAsia="楷体_GB2312"/>
        </w:rPr>
        <w:t>部分的8</w:t>
      </w:r>
      <w:r>
        <w:rPr>
          <w:rFonts w:ascii="Times New Roman" w:hAnsi="Times New Roman" w:eastAsia="楷体_GB2312"/>
        </w:rPr>
        <w:t>0</w:t>
      </w:r>
      <w:r>
        <w:rPr>
          <w:rFonts w:hint="eastAsia" w:ascii="Times New Roman" w:hAnsi="Times New Roman" w:eastAsia="楷体_GB2312"/>
        </w:rPr>
        <w:t>%作为</w:t>
      </w:r>
      <w:r>
        <w:rPr>
          <w:rFonts w:hint="eastAsia" w:ascii="Times New Roman" w:hAnsi="Times New Roman" w:eastAsia="楷体_GB2312"/>
          <w:lang w:val="en-US" w:eastAsia="zh-CN"/>
        </w:rPr>
        <w:t>超额</w:t>
      </w:r>
      <w:r>
        <w:rPr>
          <w:rFonts w:hint="eastAsia" w:ascii="Times New Roman" w:hAnsi="Times New Roman" w:eastAsia="楷体_GB2312"/>
        </w:rPr>
        <w:t>业绩报酬由管理人收取</w:t>
      </w:r>
      <w:r>
        <w:rPr>
          <w:rFonts w:hint="eastAsia" w:ascii="Times New Roman" w:hAnsi="Times New Roman" w:eastAsia="楷体_GB2312"/>
          <w:b w:val="0"/>
          <w:bCs w:val="0"/>
          <w:lang w:eastAsia="zh-CN"/>
        </w:rPr>
        <w:t>，</w:t>
      </w:r>
      <w:r>
        <w:rPr>
          <w:rFonts w:hint="eastAsia" w:ascii="Times New Roman" w:hAnsi="Times New Roman" w:eastAsia="楷体_GB2312"/>
          <w:b w:val="0"/>
          <w:bCs w:val="0"/>
          <w:lang w:val="en-US" w:eastAsia="zh-CN"/>
        </w:rPr>
        <w:t>其余20%归投资者所有</w:t>
      </w:r>
      <w:r>
        <w:rPr>
          <w:rFonts w:hint="eastAsia" w:ascii="Times New Roman" w:hAnsi="Times New Roman" w:eastAsia="楷体_GB2312"/>
        </w:rPr>
        <w:t>。</w:t>
      </w:r>
    </w:p>
    <w:p>
      <w:pPr>
        <w:snapToGrid w:val="0"/>
        <w:spacing w:line="360" w:lineRule="atLeast"/>
        <w:ind w:firstLine="420" w:firstLineChars="200"/>
        <w:rPr>
          <w:rFonts w:eastAsia="楷体_GB2312"/>
        </w:rPr>
      </w:pPr>
      <w:r>
        <w:rPr>
          <w:rFonts w:hint="eastAsia" w:eastAsia="楷体_GB2312"/>
        </w:rPr>
        <w:t>扣除固定管理费</w:t>
      </w:r>
      <w:r>
        <w:rPr>
          <w:rFonts w:hint="eastAsia" w:eastAsia="楷体_GB2312"/>
          <w:lang w:eastAsia="zh-CN"/>
        </w:rPr>
        <w:t>、</w:t>
      </w:r>
      <w:r>
        <w:rPr>
          <w:rFonts w:hint="eastAsia" w:eastAsia="楷体_GB2312"/>
        </w:rPr>
        <w:t>托管费等相关费用后，投资者赎回日产品收益率（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lang w:val="en-US" w:eastAsia="zh-CN"/>
        </w:rPr>
        <w:t>1</w:t>
      </w:r>
      <w:r>
        <w:rPr>
          <w:rFonts w:hint="eastAsia" w:eastAsia="楷体_GB2312"/>
        </w:rPr>
        <w:t>，则常熟农商银行实际收取</w:t>
      </w:r>
      <w:r>
        <w:rPr>
          <w:rFonts w:hint="eastAsia" w:eastAsia="楷体_GB2312"/>
          <w:lang w:val="en-US" w:eastAsia="zh-CN"/>
        </w:rPr>
        <w:t>超额</w:t>
      </w:r>
      <w:r>
        <w:rPr>
          <w:rFonts w:hint="eastAsia" w:eastAsia="楷体_GB2312"/>
        </w:rPr>
        <w:t>业绩报酬的年化比率为（</w:t>
      </w:r>
      <w:r>
        <w:rPr>
          <w:rFonts w:eastAsia="楷体_GB2312"/>
        </w:rPr>
        <w:t>r-R</w:t>
      </w:r>
      <w:r>
        <w:rPr>
          <w:rFonts w:hint="eastAsia" w:eastAsia="楷体_GB2312"/>
          <w:lang w:val="en-US" w:eastAsia="zh-CN"/>
        </w:rPr>
        <w:t>1</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w:t>
      </w:r>
      <w:r>
        <w:rPr>
          <w:rFonts w:hint="eastAsia" w:hAnsi="Times New Roman" w:eastAsia="楷体_GB2312" w:asciiTheme="minorAscii"/>
        </w:rPr>
        <w:t>R</w:t>
      </w:r>
      <w:r>
        <w:rPr>
          <w:rFonts w:hint="eastAsia" w:ascii="Times New Roman" w:hAnsi="Times New Roman" w:eastAsia="楷体_GB2312"/>
          <w:lang w:val="en-US" w:eastAsia="zh-CN"/>
        </w:rPr>
        <w:t>1</w:t>
      </w:r>
      <w:r>
        <w:rPr>
          <w:rFonts w:hint="eastAsia" w:ascii="Times New Roman" w:hAnsi="Times New Roman" w:eastAsia="楷体_GB2312"/>
        </w:rPr>
        <w:t>+</w:t>
      </w:r>
      <w:r>
        <w:rPr>
          <w:rFonts w:hint="eastAsia" w:eastAsia="楷体_GB2312"/>
        </w:rPr>
        <w:t>（</w:t>
      </w:r>
      <w:r>
        <w:rPr>
          <w:rFonts w:eastAsia="楷体_GB2312"/>
        </w:rPr>
        <w:t>r-R</w:t>
      </w:r>
      <w:r>
        <w:rPr>
          <w:rFonts w:hint="eastAsia" w:eastAsia="楷体_GB2312"/>
          <w:lang w:val="en-US" w:eastAsia="zh-CN"/>
        </w:rPr>
        <w:t>1</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lang w:val="en-US" w:eastAsia="zh-CN"/>
        </w:rPr>
        <w:t>1</w:t>
      </w:r>
      <w:r>
        <w:rPr>
          <w:rFonts w:hint="eastAsia" w:eastAsia="楷体_GB2312"/>
        </w:rPr>
        <w:t>，投资者实际收益为</w:t>
      </w:r>
      <w:r>
        <w:rPr>
          <w:rFonts w:eastAsia="楷体_GB2312"/>
        </w:rPr>
        <w:t>r</w:t>
      </w:r>
      <w:r>
        <w:rPr>
          <w:rFonts w:hint="eastAsia" w:eastAsia="楷体_GB2312"/>
        </w:rPr>
        <w:t>，常熟农商银行不收取</w:t>
      </w:r>
      <w:r>
        <w:rPr>
          <w:rFonts w:hint="eastAsia" w:eastAsia="楷体_GB2312"/>
          <w:lang w:val="en-US" w:eastAsia="zh-CN"/>
        </w:rPr>
        <w:t>超额</w:t>
      </w:r>
      <w:r>
        <w:rPr>
          <w:rFonts w:hint="eastAsia" w:eastAsia="楷体_GB2312"/>
        </w:rPr>
        <w:t>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w:t>
      </w:r>
      <w:r>
        <w:rPr>
          <w:rFonts w:hint="eastAsia" w:eastAsia="楷体_GB2312"/>
          <w:lang w:val="en-US" w:eastAsia="zh-CN"/>
        </w:rPr>
        <w:t>超额</w:t>
      </w:r>
      <w:r>
        <w:rPr>
          <w:rFonts w:hint="eastAsia" w:eastAsia="楷体_GB2312"/>
        </w:rPr>
        <w:t>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35</w:t>
      </w:r>
      <w:r>
        <w:rPr>
          <w:rFonts w:hint="eastAsia" w:eastAsia="楷体_GB2312"/>
        </w:rPr>
        <w:t>天业绩比较基准</w:t>
      </w:r>
      <w:r>
        <w:rPr>
          <w:rFonts w:hint="eastAsia" w:eastAsia="楷体_GB2312"/>
          <w:lang w:eastAsia="zh-CN"/>
        </w:rPr>
        <w:t>下限</w:t>
      </w:r>
      <w:r>
        <w:rPr>
          <w:rFonts w:hint="eastAsia" w:eastAsia="楷体_GB2312"/>
          <w:lang w:val="en-US" w:eastAsia="zh-CN"/>
        </w:rPr>
        <w:t>R1</w:t>
      </w:r>
      <w:r>
        <w:rPr>
          <w:rFonts w:hint="eastAsia" w:eastAsia="楷体_GB2312"/>
        </w:rPr>
        <w:t>为</w:t>
      </w:r>
      <w:r>
        <w:rPr>
          <w:rFonts w:eastAsia="楷体_GB2312"/>
        </w:rPr>
        <w:t>3.80%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35</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w:t>
      </w:r>
      <w:r>
        <w:rPr>
          <w:rFonts w:eastAsia="楷体_GB2312"/>
        </w:rPr>
        <w:t>05</w:t>
      </w:r>
      <w:r>
        <w:rPr>
          <w:rFonts w:hint="eastAsia" w:eastAsia="楷体_GB2312"/>
        </w:rPr>
        <w:t>25747，</w:t>
      </w:r>
      <w:r>
        <w:rPr>
          <w:rFonts w:hint="eastAsia" w:eastAsia="楷体_GB2312"/>
          <w:lang w:eastAsia="zh-CN"/>
        </w:rPr>
        <w:t>投资者</w:t>
      </w:r>
      <w:r>
        <w:rPr>
          <w:rFonts w:hint="eastAsia" w:eastAsia="楷体_GB2312"/>
        </w:rPr>
        <w:t>份额持有期间净值增长率为</w:t>
      </w:r>
      <w:r>
        <w:rPr>
          <w:rFonts w:eastAsia="楷体_GB2312"/>
        </w:rPr>
        <w:t>5.12%</w:t>
      </w:r>
      <w:r>
        <w:rPr>
          <w:rFonts w:hint="eastAsia" w:eastAsia="楷体_GB2312"/>
        </w:rPr>
        <w:t>（大于业绩比较基准</w:t>
      </w:r>
      <w:r>
        <w:rPr>
          <w:rFonts w:hint="eastAsia" w:eastAsia="楷体_GB2312"/>
          <w:lang w:val="en-US" w:eastAsia="zh-CN"/>
        </w:rPr>
        <w:t xml:space="preserve">下限R1 </w:t>
      </w:r>
      <w:r>
        <w:rPr>
          <w:rFonts w:eastAsia="楷体_GB2312"/>
        </w:rPr>
        <w:t>3.80%</w:t>
      </w:r>
      <w:r>
        <w:rPr>
          <w:rFonts w:hint="eastAsia" w:eastAsia="楷体_GB2312"/>
        </w:rPr>
        <w:t>），则常熟农商银行收取</w:t>
      </w:r>
      <w:r>
        <w:rPr>
          <w:rFonts w:eastAsia="楷体_GB2312"/>
        </w:rPr>
        <w:t>1.06%</w:t>
      </w:r>
      <w:r>
        <w:rPr>
          <w:rFonts w:hint="eastAsia" w:eastAsia="楷体_GB2312"/>
        </w:rPr>
        <w:t>的</w:t>
      </w:r>
      <w:r>
        <w:rPr>
          <w:rFonts w:hint="eastAsia" w:eastAsia="楷体_GB2312"/>
          <w:lang w:val="en-US" w:eastAsia="zh-CN"/>
        </w:rPr>
        <w:t>超额</w:t>
      </w:r>
      <w:r>
        <w:rPr>
          <w:rFonts w:hint="eastAsia" w:eastAsia="楷体_GB2312"/>
        </w:rPr>
        <w:t>业绩报酬，</w:t>
      </w:r>
      <w:r>
        <w:rPr>
          <w:rFonts w:hint="eastAsia" w:eastAsia="楷体_GB2312"/>
          <w:lang w:eastAsia="zh-CN"/>
        </w:rPr>
        <w:t>投资者</w:t>
      </w:r>
      <w:r>
        <w:rPr>
          <w:rFonts w:hint="eastAsia" w:eastAsia="楷体_GB2312"/>
        </w:rPr>
        <w:t>实际收益率为</w:t>
      </w:r>
      <w:r>
        <w:rPr>
          <w:rFonts w:eastAsia="楷体_GB2312"/>
        </w:rPr>
        <w:t>4.06%</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w:t>
      </w:r>
      <w:r>
        <w:rPr>
          <w:rFonts w:eastAsia="楷体_GB2312"/>
        </w:rPr>
        <w:t>1.00390747</w:t>
      </w:r>
      <w:r>
        <w:rPr>
          <w:rFonts w:hint="eastAsia" w:eastAsia="楷体_GB2312"/>
        </w:rPr>
        <w:t>，</w:t>
      </w:r>
      <w:r>
        <w:rPr>
          <w:rFonts w:hint="eastAsia" w:eastAsia="楷体_GB2312"/>
          <w:lang w:eastAsia="zh-CN"/>
        </w:rPr>
        <w:t>投资者</w:t>
      </w:r>
      <w:r>
        <w:rPr>
          <w:rFonts w:hint="eastAsia" w:eastAsia="楷体_GB2312"/>
        </w:rPr>
        <w:t>份额持有期间净值增长率为</w:t>
      </w:r>
      <w:r>
        <w:rPr>
          <w:rFonts w:eastAsia="楷体_GB2312"/>
        </w:rPr>
        <w:t>3.71%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3.71%</w:t>
      </w:r>
      <w:r>
        <w:rPr>
          <w:rFonts w:hint="eastAsia" w:eastAsia="楷体_GB2312"/>
        </w:rPr>
        <w:t>，常熟农商银行无</w:t>
      </w:r>
      <w:r>
        <w:rPr>
          <w:rFonts w:hint="eastAsia" w:eastAsia="楷体_GB2312"/>
          <w:lang w:val="en-US" w:eastAsia="zh-CN"/>
        </w:rPr>
        <w:t>超额</w:t>
      </w:r>
      <w:r>
        <w:rPr>
          <w:rFonts w:hint="eastAsia" w:eastAsia="楷体_GB2312"/>
        </w:rPr>
        <w:t>业绩报酬。</w:t>
      </w:r>
    </w:p>
    <w:p>
      <w:pPr>
        <w:snapToGrid w:val="0"/>
        <w:spacing w:line="360" w:lineRule="atLeast"/>
        <w:ind w:firstLine="420" w:firstLineChars="200"/>
        <w:rPr>
          <w:rFonts w:eastAsia="楷体_GB2312"/>
        </w:rPr>
      </w:pPr>
      <w:r>
        <w:rPr>
          <w:rFonts w:hint="eastAsia" w:eastAsia="楷体_GB2312"/>
        </w:rPr>
        <w:t>情形3：假设赎回退出时产品净值为0.99999</w:t>
      </w:r>
      <w:r>
        <w:rPr>
          <w:rFonts w:eastAsia="楷体_GB2312"/>
        </w:rPr>
        <w:t>9</w:t>
      </w:r>
      <w:r>
        <w:rPr>
          <w:rFonts w:hint="eastAsia" w:eastAsia="楷体_GB2312"/>
        </w:rPr>
        <w:t>51，</w:t>
      </w:r>
      <w:r>
        <w:rPr>
          <w:rFonts w:hint="eastAsia" w:eastAsia="楷体_GB2312"/>
          <w:lang w:eastAsia="zh-CN"/>
        </w:rPr>
        <w:t>投资者</w:t>
      </w:r>
      <w:r>
        <w:rPr>
          <w:rFonts w:hint="eastAsia" w:eastAsia="楷体_GB2312"/>
        </w:rPr>
        <w:t>份额持有期</w:t>
      </w:r>
      <w:r>
        <w:rPr>
          <w:rFonts w:hint="eastAsia" w:eastAsia="楷体_GB2312"/>
          <w:lang w:eastAsia="zh-CN"/>
        </w:rPr>
        <w:t>间</w:t>
      </w:r>
      <w:r>
        <w:rPr>
          <w:rFonts w:hint="eastAsia" w:eastAsia="楷体_GB2312"/>
        </w:rPr>
        <w:t>净值增长率</w:t>
      </w:r>
      <w:r>
        <w:rPr>
          <w:rFonts w:eastAsia="楷体_GB2312"/>
        </w:rPr>
        <w:t>-0.36%</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0.36%</w:t>
      </w:r>
      <w:r>
        <w:rPr>
          <w:rFonts w:hint="eastAsia" w:eastAsia="楷体_GB2312"/>
        </w:rPr>
        <w:t>，常熟农商银行无</w:t>
      </w:r>
      <w:r>
        <w:rPr>
          <w:rFonts w:hint="eastAsia" w:eastAsia="楷体_GB2312"/>
          <w:lang w:val="en-US" w:eastAsia="zh-CN"/>
        </w:rPr>
        <w:t>超额</w:t>
      </w:r>
      <w:r>
        <w:rPr>
          <w:rFonts w:hint="eastAsia" w:eastAsia="楷体_GB2312"/>
        </w:rPr>
        <w:t>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88"/>
      <w:bookmarkStart w:id="1" w:name="_Toc24442931"/>
      <w:bookmarkStart w:id="2" w:name="_Toc24442816"/>
      <w:bookmarkStart w:id="3" w:name="_Toc3714766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37147671"/>
      <w:bookmarkStart w:id="6" w:name="_Toc24442995"/>
      <w:bookmarkStart w:id="7" w:name="_Toc24442823"/>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156"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60288"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60288;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12"/>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0"/>
          <w:rFonts w:ascii="宋体" w:hAnsi="宋体" w:cs="宋体"/>
          <w:color w:val="auto"/>
          <w:kern w:val="0"/>
          <w:sz w:val="18"/>
          <w:szCs w:val="18"/>
        </w:rPr>
        <w:t>www.</w:t>
      </w:r>
      <w:r>
        <w:rPr>
          <w:rStyle w:val="10"/>
          <w:rFonts w:hint="eastAsia" w:ascii="宋体" w:hAnsi="宋体" w:cs="宋体"/>
          <w:color w:val="auto"/>
          <w:kern w:val="0"/>
          <w:sz w:val="18"/>
          <w:szCs w:val="18"/>
        </w:rPr>
        <w:t>csrcbank</w:t>
      </w:r>
      <w:r>
        <w:rPr>
          <w:rStyle w:val="10"/>
          <w:rFonts w:ascii="宋体" w:hAnsi="宋体" w:cs="宋体"/>
          <w:color w:val="auto"/>
          <w:kern w:val="0"/>
          <w:sz w:val="18"/>
          <w:szCs w:val="18"/>
        </w:rPr>
        <w:t>.com</w:t>
      </w:r>
      <w:r>
        <w:rPr>
          <w:rStyle w:val="10"/>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156"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0"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17</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1BD6"/>
    <w:rsid w:val="00002E97"/>
    <w:rsid w:val="00004F37"/>
    <w:rsid w:val="00006269"/>
    <w:rsid w:val="0001614C"/>
    <w:rsid w:val="000200A7"/>
    <w:rsid w:val="000309B4"/>
    <w:rsid w:val="00037BF0"/>
    <w:rsid w:val="00040800"/>
    <w:rsid w:val="00046F90"/>
    <w:rsid w:val="00050D3D"/>
    <w:rsid w:val="00050F51"/>
    <w:rsid w:val="00052A6F"/>
    <w:rsid w:val="00052F1E"/>
    <w:rsid w:val="000572BC"/>
    <w:rsid w:val="000620BD"/>
    <w:rsid w:val="000705DB"/>
    <w:rsid w:val="00071348"/>
    <w:rsid w:val="00082576"/>
    <w:rsid w:val="00083C00"/>
    <w:rsid w:val="000904BB"/>
    <w:rsid w:val="00092518"/>
    <w:rsid w:val="00092599"/>
    <w:rsid w:val="000940EC"/>
    <w:rsid w:val="000969AD"/>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C048E"/>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2AD8"/>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1550"/>
    <w:rsid w:val="00353046"/>
    <w:rsid w:val="0035333B"/>
    <w:rsid w:val="00357EC1"/>
    <w:rsid w:val="00357F9C"/>
    <w:rsid w:val="00360556"/>
    <w:rsid w:val="0036056B"/>
    <w:rsid w:val="00362E77"/>
    <w:rsid w:val="00367062"/>
    <w:rsid w:val="00371957"/>
    <w:rsid w:val="00371E84"/>
    <w:rsid w:val="00374C4E"/>
    <w:rsid w:val="00376C78"/>
    <w:rsid w:val="003919DF"/>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5F2EE2"/>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35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839C0"/>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214B"/>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67DD0"/>
    <w:rsid w:val="00C754D8"/>
    <w:rsid w:val="00C8030B"/>
    <w:rsid w:val="00C82FB9"/>
    <w:rsid w:val="00C830C6"/>
    <w:rsid w:val="00C85B5B"/>
    <w:rsid w:val="00CA03B6"/>
    <w:rsid w:val="00CA2643"/>
    <w:rsid w:val="00CA3E06"/>
    <w:rsid w:val="00CB1EB4"/>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253372"/>
    <w:rsid w:val="015107E6"/>
    <w:rsid w:val="01525273"/>
    <w:rsid w:val="01D07389"/>
    <w:rsid w:val="01ED30B6"/>
    <w:rsid w:val="020277D8"/>
    <w:rsid w:val="020D728E"/>
    <w:rsid w:val="022B2C0A"/>
    <w:rsid w:val="02412B40"/>
    <w:rsid w:val="02485D4E"/>
    <w:rsid w:val="025A3A6A"/>
    <w:rsid w:val="02840131"/>
    <w:rsid w:val="028E264D"/>
    <w:rsid w:val="02C14713"/>
    <w:rsid w:val="02C32E43"/>
    <w:rsid w:val="02EF77E1"/>
    <w:rsid w:val="030F22FA"/>
    <w:rsid w:val="03243133"/>
    <w:rsid w:val="035B4911"/>
    <w:rsid w:val="036C6DAA"/>
    <w:rsid w:val="03E531F1"/>
    <w:rsid w:val="043B4C5B"/>
    <w:rsid w:val="044A614F"/>
    <w:rsid w:val="04815B5D"/>
    <w:rsid w:val="048C0506"/>
    <w:rsid w:val="04D72BD5"/>
    <w:rsid w:val="04EF11D6"/>
    <w:rsid w:val="05066B4B"/>
    <w:rsid w:val="053B19FF"/>
    <w:rsid w:val="054141A1"/>
    <w:rsid w:val="05711A7E"/>
    <w:rsid w:val="058C00A9"/>
    <w:rsid w:val="05B437EC"/>
    <w:rsid w:val="05F2584F"/>
    <w:rsid w:val="05F77758"/>
    <w:rsid w:val="05FF735B"/>
    <w:rsid w:val="06187C8D"/>
    <w:rsid w:val="064A5EDE"/>
    <w:rsid w:val="065B5A88"/>
    <w:rsid w:val="06721621"/>
    <w:rsid w:val="068B4749"/>
    <w:rsid w:val="069A535A"/>
    <w:rsid w:val="069B7C33"/>
    <w:rsid w:val="06B1240A"/>
    <w:rsid w:val="06BA258E"/>
    <w:rsid w:val="06CE1DB6"/>
    <w:rsid w:val="06CF1DA7"/>
    <w:rsid w:val="06DA4BFF"/>
    <w:rsid w:val="06F47205"/>
    <w:rsid w:val="06F6767B"/>
    <w:rsid w:val="070E5047"/>
    <w:rsid w:val="072B6851"/>
    <w:rsid w:val="07726BC0"/>
    <w:rsid w:val="077730CD"/>
    <w:rsid w:val="07871169"/>
    <w:rsid w:val="079216F8"/>
    <w:rsid w:val="07A019A5"/>
    <w:rsid w:val="07A82DA7"/>
    <w:rsid w:val="07B55485"/>
    <w:rsid w:val="07BA06BE"/>
    <w:rsid w:val="07C74150"/>
    <w:rsid w:val="07F51860"/>
    <w:rsid w:val="084837A5"/>
    <w:rsid w:val="08487F22"/>
    <w:rsid w:val="085245E8"/>
    <w:rsid w:val="085262B3"/>
    <w:rsid w:val="086246CF"/>
    <w:rsid w:val="086D2969"/>
    <w:rsid w:val="08884563"/>
    <w:rsid w:val="08AE00F1"/>
    <w:rsid w:val="08B140CE"/>
    <w:rsid w:val="08CE42EF"/>
    <w:rsid w:val="08E858AD"/>
    <w:rsid w:val="08EF5238"/>
    <w:rsid w:val="08FF26FB"/>
    <w:rsid w:val="093064D5"/>
    <w:rsid w:val="095F46FA"/>
    <w:rsid w:val="09885DFC"/>
    <w:rsid w:val="098D603B"/>
    <w:rsid w:val="09D94E35"/>
    <w:rsid w:val="09DD76C5"/>
    <w:rsid w:val="09FB2DEB"/>
    <w:rsid w:val="0A206DCD"/>
    <w:rsid w:val="0A286239"/>
    <w:rsid w:val="0A3B3BD5"/>
    <w:rsid w:val="0A436A63"/>
    <w:rsid w:val="0A4725AB"/>
    <w:rsid w:val="0A5C798D"/>
    <w:rsid w:val="0A697B87"/>
    <w:rsid w:val="0A870D85"/>
    <w:rsid w:val="0A8B4C59"/>
    <w:rsid w:val="0A8E1461"/>
    <w:rsid w:val="0A9C2975"/>
    <w:rsid w:val="0AB74823"/>
    <w:rsid w:val="0AB94A41"/>
    <w:rsid w:val="0AC57691"/>
    <w:rsid w:val="0ACC485F"/>
    <w:rsid w:val="0AD025A1"/>
    <w:rsid w:val="0ADD4CBE"/>
    <w:rsid w:val="0B2628D9"/>
    <w:rsid w:val="0B322C9A"/>
    <w:rsid w:val="0B921C08"/>
    <w:rsid w:val="0BC33EB3"/>
    <w:rsid w:val="0BE36CA3"/>
    <w:rsid w:val="0BF82C31"/>
    <w:rsid w:val="0C4D013D"/>
    <w:rsid w:val="0C6E04EF"/>
    <w:rsid w:val="0C931FF0"/>
    <w:rsid w:val="0CAB26D5"/>
    <w:rsid w:val="0CB17E61"/>
    <w:rsid w:val="0CF672D1"/>
    <w:rsid w:val="0D1A7C83"/>
    <w:rsid w:val="0D366907"/>
    <w:rsid w:val="0D552B6D"/>
    <w:rsid w:val="0D7359A1"/>
    <w:rsid w:val="0D9C536D"/>
    <w:rsid w:val="0DBC1618"/>
    <w:rsid w:val="0DEF71E2"/>
    <w:rsid w:val="0E183F30"/>
    <w:rsid w:val="0E1A7433"/>
    <w:rsid w:val="0E814859"/>
    <w:rsid w:val="0E8C5D7C"/>
    <w:rsid w:val="0E8F15F0"/>
    <w:rsid w:val="0EBA2435"/>
    <w:rsid w:val="0EC341CA"/>
    <w:rsid w:val="0F0E7940"/>
    <w:rsid w:val="0F38624F"/>
    <w:rsid w:val="0F8E6201"/>
    <w:rsid w:val="0F9F0794"/>
    <w:rsid w:val="0FB41672"/>
    <w:rsid w:val="0FE8213B"/>
    <w:rsid w:val="0FF54858"/>
    <w:rsid w:val="103764A9"/>
    <w:rsid w:val="105B1B61"/>
    <w:rsid w:val="106C7400"/>
    <w:rsid w:val="10807BA2"/>
    <w:rsid w:val="10907E3C"/>
    <w:rsid w:val="10997447"/>
    <w:rsid w:val="10A741DE"/>
    <w:rsid w:val="10A854E3"/>
    <w:rsid w:val="10E9137D"/>
    <w:rsid w:val="11044578"/>
    <w:rsid w:val="114A2981"/>
    <w:rsid w:val="114A726B"/>
    <w:rsid w:val="116B08B9"/>
    <w:rsid w:val="116F3C27"/>
    <w:rsid w:val="1186384C"/>
    <w:rsid w:val="11D3174D"/>
    <w:rsid w:val="12111CE2"/>
    <w:rsid w:val="12371157"/>
    <w:rsid w:val="12374872"/>
    <w:rsid w:val="125633BB"/>
    <w:rsid w:val="12641821"/>
    <w:rsid w:val="128F1B00"/>
    <w:rsid w:val="129E3EB1"/>
    <w:rsid w:val="12A32D1F"/>
    <w:rsid w:val="12C82F5F"/>
    <w:rsid w:val="12F8571F"/>
    <w:rsid w:val="13180760"/>
    <w:rsid w:val="131C29E9"/>
    <w:rsid w:val="131E40C5"/>
    <w:rsid w:val="134842DB"/>
    <w:rsid w:val="135A061A"/>
    <w:rsid w:val="13853312"/>
    <w:rsid w:val="13860D94"/>
    <w:rsid w:val="13AD22D8"/>
    <w:rsid w:val="13B35317"/>
    <w:rsid w:val="13C82B02"/>
    <w:rsid w:val="13E56022"/>
    <w:rsid w:val="13FC2057"/>
    <w:rsid w:val="1426671F"/>
    <w:rsid w:val="142D60AA"/>
    <w:rsid w:val="14480E52"/>
    <w:rsid w:val="1462527F"/>
    <w:rsid w:val="14A127E5"/>
    <w:rsid w:val="15584512"/>
    <w:rsid w:val="15596EC0"/>
    <w:rsid w:val="155A25CD"/>
    <w:rsid w:val="158A5A42"/>
    <w:rsid w:val="158F67C1"/>
    <w:rsid w:val="15CC7E09"/>
    <w:rsid w:val="1604074F"/>
    <w:rsid w:val="16391602"/>
    <w:rsid w:val="164467AA"/>
    <w:rsid w:val="167069E6"/>
    <w:rsid w:val="168A398A"/>
    <w:rsid w:val="169459E2"/>
    <w:rsid w:val="16B36D4D"/>
    <w:rsid w:val="16B831D5"/>
    <w:rsid w:val="16C3146A"/>
    <w:rsid w:val="16E21E1B"/>
    <w:rsid w:val="16F577B6"/>
    <w:rsid w:val="16F82A54"/>
    <w:rsid w:val="1703454E"/>
    <w:rsid w:val="170B195A"/>
    <w:rsid w:val="17104BDE"/>
    <w:rsid w:val="17206192"/>
    <w:rsid w:val="17214184"/>
    <w:rsid w:val="174D4F79"/>
    <w:rsid w:val="17AB24D1"/>
    <w:rsid w:val="17AF08A9"/>
    <w:rsid w:val="17D313A3"/>
    <w:rsid w:val="17DB7587"/>
    <w:rsid w:val="17E70043"/>
    <w:rsid w:val="17E91348"/>
    <w:rsid w:val="17EA27C8"/>
    <w:rsid w:val="17F6065E"/>
    <w:rsid w:val="180608F8"/>
    <w:rsid w:val="181E68F0"/>
    <w:rsid w:val="18292F6E"/>
    <w:rsid w:val="182D2D36"/>
    <w:rsid w:val="1872382B"/>
    <w:rsid w:val="189D42EF"/>
    <w:rsid w:val="18B60219"/>
    <w:rsid w:val="18D944D4"/>
    <w:rsid w:val="18DD7D48"/>
    <w:rsid w:val="18DF3E5F"/>
    <w:rsid w:val="191142D4"/>
    <w:rsid w:val="19461C80"/>
    <w:rsid w:val="19911673"/>
    <w:rsid w:val="199C2F88"/>
    <w:rsid w:val="19A50560"/>
    <w:rsid w:val="19D4203E"/>
    <w:rsid w:val="19DC4FFB"/>
    <w:rsid w:val="19E908B9"/>
    <w:rsid w:val="1A29778A"/>
    <w:rsid w:val="1A491DAC"/>
    <w:rsid w:val="1A6900E2"/>
    <w:rsid w:val="1A89451A"/>
    <w:rsid w:val="1A8F0322"/>
    <w:rsid w:val="1A9D7FC6"/>
    <w:rsid w:val="1AAF48E3"/>
    <w:rsid w:val="1B096967"/>
    <w:rsid w:val="1B171500"/>
    <w:rsid w:val="1B2129A5"/>
    <w:rsid w:val="1B5A7C65"/>
    <w:rsid w:val="1B7E21A9"/>
    <w:rsid w:val="1B8151F1"/>
    <w:rsid w:val="1BC85AA0"/>
    <w:rsid w:val="1BC95755"/>
    <w:rsid w:val="1BE93A56"/>
    <w:rsid w:val="1BEA2D97"/>
    <w:rsid w:val="1C060E08"/>
    <w:rsid w:val="1C241635"/>
    <w:rsid w:val="1C2E0BDD"/>
    <w:rsid w:val="1C3357E5"/>
    <w:rsid w:val="1C392F29"/>
    <w:rsid w:val="1C420E24"/>
    <w:rsid w:val="1C6F2DB6"/>
    <w:rsid w:val="1C7F1A3E"/>
    <w:rsid w:val="1C951971"/>
    <w:rsid w:val="1CC17F9B"/>
    <w:rsid w:val="1D0667AD"/>
    <w:rsid w:val="1D2749F0"/>
    <w:rsid w:val="1D3F5364"/>
    <w:rsid w:val="1D6F3E9B"/>
    <w:rsid w:val="1D73355D"/>
    <w:rsid w:val="1D86477C"/>
    <w:rsid w:val="1DB573D4"/>
    <w:rsid w:val="1DBA3E18"/>
    <w:rsid w:val="1E0E375C"/>
    <w:rsid w:val="1E257043"/>
    <w:rsid w:val="1E2C078D"/>
    <w:rsid w:val="1E414EAF"/>
    <w:rsid w:val="1E4470D6"/>
    <w:rsid w:val="1E450758"/>
    <w:rsid w:val="1E5D6D5E"/>
    <w:rsid w:val="1E642E68"/>
    <w:rsid w:val="1E73383C"/>
    <w:rsid w:val="1E790DF9"/>
    <w:rsid w:val="1E7A627B"/>
    <w:rsid w:val="1EA529D6"/>
    <w:rsid w:val="1EAA2CB1"/>
    <w:rsid w:val="1EAC2360"/>
    <w:rsid w:val="1EBB35AB"/>
    <w:rsid w:val="1EBE5AFE"/>
    <w:rsid w:val="1EC93137"/>
    <w:rsid w:val="1ECF44C6"/>
    <w:rsid w:val="1EF67E9C"/>
    <w:rsid w:val="1F06438B"/>
    <w:rsid w:val="1F163F8E"/>
    <w:rsid w:val="1F1A4B93"/>
    <w:rsid w:val="1F4958D9"/>
    <w:rsid w:val="1F5350F7"/>
    <w:rsid w:val="1F8467C0"/>
    <w:rsid w:val="1FCD7EB9"/>
    <w:rsid w:val="1FE458E0"/>
    <w:rsid w:val="20174E36"/>
    <w:rsid w:val="204C6209"/>
    <w:rsid w:val="206F170E"/>
    <w:rsid w:val="20B16579"/>
    <w:rsid w:val="20B36CBB"/>
    <w:rsid w:val="20F052F3"/>
    <w:rsid w:val="20F879A7"/>
    <w:rsid w:val="21060EBB"/>
    <w:rsid w:val="21323C32"/>
    <w:rsid w:val="21510752"/>
    <w:rsid w:val="21540FBA"/>
    <w:rsid w:val="21637056"/>
    <w:rsid w:val="21783778"/>
    <w:rsid w:val="21A250B2"/>
    <w:rsid w:val="21AD089D"/>
    <w:rsid w:val="21C530BF"/>
    <w:rsid w:val="21C53505"/>
    <w:rsid w:val="21D44D8B"/>
    <w:rsid w:val="21D87015"/>
    <w:rsid w:val="21EA7C77"/>
    <w:rsid w:val="221A5500"/>
    <w:rsid w:val="222C0C9D"/>
    <w:rsid w:val="223C5D9A"/>
    <w:rsid w:val="22850432"/>
    <w:rsid w:val="228A48BA"/>
    <w:rsid w:val="22943A5C"/>
    <w:rsid w:val="22C00CF5"/>
    <w:rsid w:val="22E31B89"/>
    <w:rsid w:val="22F64296"/>
    <w:rsid w:val="232F3534"/>
    <w:rsid w:val="234341C3"/>
    <w:rsid w:val="2366364A"/>
    <w:rsid w:val="236F5E31"/>
    <w:rsid w:val="23A87290"/>
    <w:rsid w:val="23A94D12"/>
    <w:rsid w:val="23B36272"/>
    <w:rsid w:val="23DB2F62"/>
    <w:rsid w:val="23ED4783"/>
    <w:rsid w:val="23FE6A43"/>
    <w:rsid w:val="24077EBB"/>
    <w:rsid w:val="241C5742"/>
    <w:rsid w:val="24335B6F"/>
    <w:rsid w:val="2438587A"/>
    <w:rsid w:val="24462612"/>
    <w:rsid w:val="24BA177F"/>
    <w:rsid w:val="24DB1E16"/>
    <w:rsid w:val="24E24F53"/>
    <w:rsid w:val="25007ACF"/>
    <w:rsid w:val="250967A8"/>
    <w:rsid w:val="25147B41"/>
    <w:rsid w:val="251A1C01"/>
    <w:rsid w:val="25544D4D"/>
    <w:rsid w:val="257A3908"/>
    <w:rsid w:val="25EC4FA1"/>
    <w:rsid w:val="26310EB8"/>
    <w:rsid w:val="264158CF"/>
    <w:rsid w:val="264D0AF2"/>
    <w:rsid w:val="265213ED"/>
    <w:rsid w:val="266D329C"/>
    <w:rsid w:val="26715E49"/>
    <w:rsid w:val="267E1DB2"/>
    <w:rsid w:val="267E6753"/>
    <w:rsid w:val="26D37F62"/>
    <w:rsid w:val="26D94B49"/>
    <w:rsid w:val="270218DC"/>
    <w:rsid w:val="270311B0"/>
    <w:rsid w:val="279142F8"/>
    <w:rsid w:val="27A9197A"/>
    <w:rsid w:val="27C512CF"/>
    <w:rsid w:val="27C634CD"/>
    <w:rsid w:val="27D74B17"/>
    <w:rsid w:val="27E32A7D"/>
    <w:rsid w:val="27E53D82"/>
    <w:rsid w:val="27F630D6"/>
    <w:rsid w:val="28046835"/>
    <w:rsid w:val="28405395"/>
    <w:rsid w:val="285A599B"/>
    <w:rsid w:val="289F2C88"/>
    <w:rsid w:val="28BC293D"/>
    <w:rsid w:val="28C50E13"/>
    <w:rsid w:val="28CB79B1"/>
    <w:rsid w:val="28DA3395"/>
    <w:rsid w:val="28F61640"/>
    <w:rsid w:val="28F76BC7"/>
    <w:rsid w:val="29095BA3"/>
    <w:rsid w:val="29334D29"/>
    <w:rsid w:val="29716EC8"/>
    <w:rsid w:val="29883BEF"/>
    <w:rsid w:val="298F19ED"/>
    <w:rsid w:val="298F31CF"/>
    <w:rsid w:val="29BF1089"/>
    <w:rsid w:val="29DB2BB8"/>
    <w:rsid w:val="2A01667B"/>
    <w:rsid w:val="2A017DDD"/>
    <w:rsid w:val="2A0C4C95"/>
    <w:rsid w:val="2A120B13"/>
    <w:rsid w:val="2A842B20"/>
    <w:rsid w:val="2AA76E09"/>
    <w:rsid w:val="2AB54EB7"/>
    <w:rsid w:val="2AD74E2E"/>
    <w:rsid w:val="2AFE7817"/>
    <w:rsid w:val="2B284473"/>
    <w:rsid w:val="2B700A50"/>
    <w:rsid w:val="2B7661DC"/>
    <w:rsid w:val="2BE315B0"/>
    <w:rsid w:val="2BF15B26"/>
    <w:rsid w:val="2C110389"/>
    <w:rsid w:val="2C1602E4"/>
    <w:rsid w:val="2C372A17"/>
    <w:rsid w:val="2C8C7F23"/>
    <w:rsid w:val="2CD07712"/>
    <w:rsid w:val="2D324A76"/>
    <w:rsid w:val="2D406ACD"/>
    <w:rsid w:val="2DA54273"/>
    <w:rsid w:val="2DBA5111"/>
    <w:rsid w:val="2DD90EBD"/>
    <w:rsid w:val="2E286892"/>
    <w:rsid w:val="2E303E57"/>
    <w:rsid w:val="2E475FFA"/>
    <w:rsid w:val="2E627EA9"/>
    <w:rsid w:val="2E660AAD"/>
    <w:rsid w:val="2E922BF6"/>
    <w:rsid w:val="2EED4C20"/>
    <w:rsid w:val="2EF54743"/>
    <w:rsid w:val="2F062BB5"/>
    <w:rsid w:val="2F1877C3"/>
    <w:rsid w:val="2F320885"/>
    <w:rsid w:val="2F521A5F"/>
    <w:rsid w:val="2F5B483E"/>
    <w:rsid w:val="2F6915D5"/>
    <w:rsid w:val="2F8D6311"/>
    <w:rsid w:val="2FC254E7"/>
    <w:rsid w:val="2FCF25FE"/>
    <w:rsid w:val="2FF23AB7"/>
    <w:rsid w:val="30406FD1"/>
    <w:rsid w:val="30450A8C"/>
    <w:rsid w:val="305111DE"/>
    <w:rsid w:val="305B7C64"/>
    <w:rsid w:val="308F5B7C"/>
    <w:rsid w:val="309E19D2"/>
    <w:rsid w:val="30E513DE"/>
    <w:rsid w:val="30E65649"/>
    <w:rsid w:val="30EE2ED1"/>
    <w:rsid w:val="310E7707"/>
    <w:rsid w:val="311C5219"/>
    <w:rsid w:val="316C6324"/>
    <w:rsid w:val="317258B0"/>
    <w:rsid w:val="31801FC4"/>
    <w:rsid w:val="31886E82"/>
    <w:rsid w:val="31945FB0"/>
    <w:rsid w:val="31BB30A3"/>
    <w:rsid w:val="31C417B4"/>
    <w:rsid w:val="31EB1674"/>
    <w:rsid w:val="31F022FC"/>
    <w:rsid w:val="320831A2"/>
    <w:rsid w:val="323D1A1A"/>
    <w:rsid w:val="326C0551"/>
    <w:rsid w:val="326D5E9B"/>
    <w:rsid w:val="329B0193"/>
    <w:rsid w:val="32EA7018"/>
    <w:rsid w:val="333077D1"/>
    <w:rsid w:val="33A928CE"/>
    <w:rsid w:val="33C2127A"/>
    <w:rsid w:val="33E24302"/>
    <w:rsid w:val="33E46427"/>
    <w:rsid w:val="33FF10DF"/>
    <w:rsid w:val="348A3241"/>
    <w:rsid w:val="348F18C7"/>
    <w:rsid w:val="34A075E3"/>
    <w:rsid w:val="34A672EE"/>
    <w:rsid w:val="34D06C8E"/>
    <w:rsid w:val="34DF7589"/>
    <w:rsid w:val="34EB51C8"/>
    <w:rsid w:val="34ED54E4"/>
    <w:rsid w:val="34FD7327"/>
    <w:rsid w:val="352978C7"/>
    <w:rsid w:val="35474AB0"/>
    <w:rsid w:val="35584B93"/>
    <w:rsid w:val="355A1216"/>
    <w:rsid w:val="357F17EA"/>
    <w:rsid w:val="35A82394"/>
    <w:rsid w:val="35AA386B"/>
    <w:rsid w:val="35BC359E"/>
    <w:rsid w:val="35C34243"/>
    <w:rsid w:val="35C42453"/>
    <w:rsid w:val="35C81F43"/>
    <w:rsid w:val="35DC6FB5"/>
    <w:rsid w:val="35F13A8D"/>
    <w:rsid w:val="362C24D2"/>
    <w:rsid w:val="363B44C3"/>
    <w:rsid w:val="36663047"/>
    <w:rsid w:val="36A2002D"/>
    <w:rsid w:val="36CB3D61"/>
    <w:rsid w:val="36D24400"/>
    <w:rsid w:val="36E3431A"/>
    <w:rsid w:val="370116CC"/>
    <w:rsid w:val="3710594F"/>
    <w:rsid w:val="372E2279"/>
    <w:rsid w:val="374E17CB"/>
    <w:rsid w:val="376A7A76"/>
    <w:rsid w:val="37B24C58"/>
    <w:rsid w:val="37C13D08"/>
    <w:rsid w:val="37CB4618"/>
    <w:rsid w:val="37DF3574"/>
    <w:rsid w:val="383438BF"/>
    <w:rsid w:val="383B4C4E"/>
    <w:rsid w:val="38491A7B"/>
    <w:rsid w:val="38606463"/>
    <w:rsid w:val="38910B5D"/>
    <w:rsid w:val="38D45B95"/>
    <w:rsid w:val="38E1635E"/>
    <w:rsid w:val="390272F8"/>
    <w:rsid w:val="39057817"/>
    <w:rsid w:val="391A77BD"/>
    <w:rsid w:val="39335925"/>
    <w:rsid w:val="39674039"/>
    <w:rsid w:val="39682ADB"/>
    <w:rsid w:val="39900A80"/>
    <w:rsid w:val="39A43E9E"/>
    <w:rsid w:val="39A84565"/>
    <w:rsid w:val="39B131B3"/>
    <w:rsid w:val="39B905C0"/>
    <w:rsid w:val="39C6630A"/>
    <w:rsid w:val="39D236E8"/>
    <w:rsid w:val="39D3116A"/>
    <w:rsid w:val="39F529A3"/>
    <w:rsid w:val="39FB232E"/>
    <w:rsid w:val="3A0472C2"/>
    <w:rsid w:val="3A2B507B"/>
    <w:rsid w:val="3A2D057F"/>
    <w:rsid w:val="3AA82343"/>
    <w:rsid w:val="3AB17449"/>
    <w:rsid w:val="3AC569F5"/>
    <w:rsid w:val="3ADD4E9F"/>
    <w:rsid w:val="3AE26C90"/>
    <w:rsid w:val="3AE709AF"/>
    <w:rsid w:val="3B044D5F"/>
    <w:rsid w:val="3B0E69A9"/>
    <w:rsid w:val="3B135379"/>
    <w:rsid w:val="3B351E28"/>
    <w:rsid w:val="3B59711D"/>
    <w:rsid w:val="3B7E4A28"/>
    <w:rsid w:val="3BB16FD5"/>
    <w:rsid w:val="3BDA7340"/>
    <w:rsid w:val="3C002B02"/>
    <w:rsid w:val="3C797AF3"/>
    <w:rsid w:val="3C7F204D"/>
    <w:rsid w:val="3CC06339"/>
    <w:rsid w:val="3CCB7F4E"/>
    <w:rsid w:val="3CFB7418"/>
    <w:rsid w:val="3D072EA5"/>
    <w:rsid w:val="3D1753A2"/>
    <w:rsid w:val="3D3921C5"/>
    <w:rsid w:val="3D53112B"/>
    <w:rsid w:val="3D754D6F"/>
    <w:rsid w:val="3D7D2B81"/>
    <w:rsid w:val="3D930C99"/>
    <w:rsid w:val="3DAA1B3A"/>
    <w:rsid w:val="3DC65BE7"/>
    <w:rsid w:val="3DF641B8"/>
    <w:rsid w:val="3E0B0C1F"/>
    <w:rsid w:val="3E1958A3"/>
    <w:rsid w:val="3E23240C"/>
    <w:rsid w:val="3E2D0A8E"/>
    <w:rsid w:val="3E5654D6"/>
    <w:rsid w:val="3E7C1B1C"/>
    <w:rsid w:val="3E9052B0"/>
    <w:rsid w:val="3EA10B09"/>
    <w:rsid w:val="3EF25354"/>
    <w:rsid w:val="3F064114"/>
    <w:rsid w:val="3F27452A"/>
    <w:rsid w:val="3F485EA2"/>
    <w:rsid w:val="3F494FE9"/>
    <w:rsid w:val="3F8D5AF8"/>
    <w:rsid w:val="3F8F762D"/>
    <w:rsid w:val="3FA163F2"/>
    <w:rsid w:val="3FC55E64"/>
    <w:rsid w:val="3FC7326B"/>
    <w:rsid w:val="3FC90D91"/>
    <w:rsid w:val="3FFF2A05"/>
    <w:rsid w:val="402356C6"/>
    <w:rsid w:val="40277950"/>
    <w:rsid w:val="402C3DD7"/>
    <w:rsid w:val="403147CD"/>
    <w:rsid w:val="40512B35"/>
    <w:rsid w:val="40516596"/>
    <w:rsid w:val="405E4CFE"/>
    <w:rsid w:val="407C3ED2"/>
    <w:rsid w:val="40CD2DA9"/>
    <w:rsid w:val="40E16D7E"/>
    <w:rsid w:val="40E90A54"/>
    <w:rsid w:val="40F3031D"/>
    <w:rsid w:val="410C3445"/>
    <w:rsid w:val="411078CD"/>
    <w:rsid w:val="412F645D"/>
    <w:rsid w:val="414D3EAF"/>
    <w:rsid w:val="41854017"/>
    <w:rsid w:val="41C837F8"/>
    <w:rsid w:val="41E90989"/>
    <w:rsid w:val="41EC3DB8"/>
    <w:rsid w:val="41FD4053"/>
    <w:rsid w:val="420A137E"/>
    <w:rsid w:val="421B33FA"/>
    <w:rsid w:val="425A2175"/>
    <w:rsid w:val="425D61F8"/>
    <w:rsid w:val="4283244D"/>
    <w:rsid w:val="428B1338"/>
    <w:rsid w:val="42AD2B71"/>
    <w:rsid w:val="42C4601A"/>
    <w:rsid w:val="42E07093"/>
    <w:rsid w:val="42E94F55"/>
    <w:rsid w:val="42F176D0"/>
    <w:rsid w:val="433462CE"/>
    <w:rsid w:val="4359650D"/>
    <w:rsid w:val="43991833"/>
    <w:rsid w:val="43C845C3"/>
    <w:rsid w:val="43CD51C7"/>
    <w:rsid w:val="43F3462F"/>
    <w:rsid w:val="4430746A"/>
    <w:rsid w:val="443D3AFC"/>
    <w:rsid w:val="444F35A2"/>
    <w:rsid w:val="4450106D"/>
    <w:rsid w:val="445A3B32"/>
    <w:rsid w:val="446E05D4"/>
    <w:rsid w:val="448F2D07"/>
    <w:rsid w:val="455E2608"/>
    <w:rsid w:val="45A5284F"/>
    <w:rsid w:val="45D2476C"/>
    <w:rsid w:val="45D940C6"/>
    <w:rsid w:val="45FA1BC9"/>
    <w:rsid w:val="45FD6761"/>
    <w:rsid w:val="4649335D"/>
    <w:rsid w:val="464D55E6"/>
    <w:rsid w:val="46534F71"/>
    <w:rsid w:val="467609A9"/>
    <w:rsid w:val="46B77214"/>
    <w:rsid w:val="46D467C4"/>
    <w:rsid w:val="46E147D5"/>
    <w:rsid w:val="46EE736E"/>
    <w:rsid w:val="46FD0882"/>
    <w:rsid w:val="46FE1DC0"/>
    <w:rsid w:val="47404981"/>
    <w:rsid w:val="474422FB"/>
    <w:rsid w:val="4757351A"/>
    <w:rsid w:val="4769150E"/>
    <w:rsid w:val="47855EE6"/>
    <w:rsid w:val="47974304"/>
    <w:rsid w:val="47A54DB6"/>
    <w:rsid w:val="47E04ECA"/>
    <w:rsid w:val="47E524E0"/>
    <w:rsid w:val="48027536"/>
    <w:rsid w:val="480A2FBE"/>
    <w:rsid w:val="48185B57"/>
    <w:rsid w:val="481A57D7"/>
    <w:rsid w:val="48300867"/>
    <w:rsid w:val="485B4555"/>
    <w:rsid w:val="487C587B"/>
    <w:rsid w:val="489B28AD"/>
    <w:rsid w:val="48B813E9"/>
    <w:rsid w:val="49165266"/>
    <w:rsid w:val="491F7C74"/>
    <w:rsid w:val="49244D8F"/>
    <w:rsid w:val="49547ADD"/>
    <w:rsid w:val="49792302"/>
    <w:rsid w:val="498E0956"/>
    <w:rsid w:val="49A94F52"/>
    <w:rsid w:val="49AB4C68"/>
    <w:rsid w:val="49D01002"/>
    <w:rsid w:val="49D074BD"/>
    <w:rsid w:val="49F308E0"/>
    <w:rsid w:val="49F92CA8"/>
    <w:rsid w:val="4A0D5D1E"/>
    <w:rsid w:val="4A17781B"/>
    <w:rsid w:val="4A2645B2"/>
    <w:rsid w:val="4A2F4B21"/>
    <w:rsid w:val="4A3D4856"/>
    <w:rsid w:val="4A8536D2"/>
    <w:rsid w:val="4AA25200"/>
    <w:rsid w:val="4AA32C82"/>
    <w:rsid w:val="4AB97C54"/>
    <w:rsid w:val="4AD743D6"/>
    <w:rsid w:val="4AE60DF1"/>
    <w:rsid w:val="4B2D0403"/>
    <w:rsid w:val="4B5F55B3"/>
    <w:rsid w:val="4BE274AD"/>
    <w:rsid w:val="4BFB03C0"/>
    <w:rsid w:val="4C316E6F"/>
    <w:rsid w:val="4C625407"/>
    <w:rsid w:val="4CAF785F"/>
    <w:rsid w:val="4D021D86"/>
    <w:rsid w:val="4D3F38CB"/>
    <w:rsid w:val="4D5634F0"/>
    <w:rsid w:val="4D5D1F40"/>
    <w:rsid w:val="4D994B44"/>
    <w:rsid w:val="4DA335EF"/>
    <w:rsid w:val="4DB95793"/>
    <w:rsid w:val="4DDF0F63"/>
    <w:rsid w:val="4DE60D60"/>
    <w:rsid w:val="4E0E506F"/>
    <w:rsid w:val="4E275DC7"/>
    <w:rsid w:val="4E281379"/>
    <w:rsid w:val="4E2D219F"/>
    <w:rsid w:val="4E383AE3"/>
    <w:rsid w:val="4E481A1B"/>
    <w:rsid w:val="4E4B256C"/>
    <w:rsid w:val="4E501D2A"/>
    <w:rsid w:val="4E801CD9"/>
    <w:rsid w:val="4E884B66"/>
    <w:rsid w:val="4E8F0CF5"/>
    <w:rsid w:val="4E964534"/>
    <w:rsid w:val="4EA84268"/>
    <w:rsid w:val="4EB621B3"/>
    <w:rsid w:val="4ECD3CCE"/>
    <w:rsid w:val="4EF26794"/>
    <w:rsid w:val="4EFB2AF1"/>
    <w:rsid w:val="4F1637C8"/>
    <w:rsid w:val="4F454F19"/>
    <w:rsid w:val="4F5D32A4"/>
    <w:rsid w:val="4F90367A"/>
    <w:rsid w:val="4F923C1E"/>
    <w:rsid w:val="4FA92BFB"/>
    <w:rsid w:val="4FBB03DB"/>
    <w:rsid w:val="50120DEA"/>
    <w:rsid w:val="50146E75"/>
    <w:rsid w:val="501677F0"/>
    <w:rsid w:val="501871CB"/>
    <w:rsid w:val="503F6BEE"/>
    <w:rsid w:val="50A62A43"/>
    <w:rsid w:val="50BB5D80"/>
    <w:rsid w:val="51186119"/>
    <w:rsid w:val="51291058"/>
    <w:rsid w:val="51322546"/>
    <w:rsid w:val="51465964"/>
    <w:rsid w:val="514F4075"/>
    <w:rsid w:val="51786173"/>
    <w:rsid w:val="51827D47"/>
    <w:rsid w:val="51917235"/>
    <w:rsid w:val="51AA7C07"/>
    <w:rsid w:val="51BE68A7"/>
    <w:rsid w:val="51E00BA5"/>
    <w:rsid w:val="521441F2"/>
    <w:rsid w:val="52163CAA"/>
    <w:rsid w:val="521C7F46"/>
    <w:rsid w:val="5225157F"/>
    <w:rsid w:val="52553923"/>
    <w:rsid w:val="52662470"/>
    <w:rsid w:val="52686D40"/>
    <w:rsid w:val="528F495B"/>
    <w:rsid w:val="52995311"/>
    <w:rsid w:val="52BB6B4A"/>
    <w:rsid w:val="52CA29FF"/>
    <w:rsid w:val="5335235D"/>
    <w:rsid w:val="5338218F"/>
    <w:rsid w:val="539A2935"/>
    <w:rsid w:val="539C5E38"/>
    <w:rsid w:val="53B8319F"/>
    <w:rsid w:val="53D02297"/>
    <w:rsid w:val="53D6159A"/>
    <w:rsid w:val="545B07F5"/>
    <w:rsid w:val="545E1B1E"/>
    <w:rsid w:val="54636ED5"/>
    <w:rsid w:val="54702EAE"/>
    <w:rsid w:val="54766E20"/>
    <w:rsid w:val="54A0435F"/>
    <w:rsid w:val="54BA77E4"/>
    <w:rsid w:val="54BE1BDE"/>
    <w:rsid w:val="54DB67C4"/>
    <w:rsid w:val="54DD1CC8"/>
    <w:rsid w:val="551256A6"/>
    <w:rsid w:val="551A792E"/>
    <w:rsid w:val="551B75AE"/>
    <w:rsid w:val="551E34D6"/>
    <w:rsid w:val="5536145D"/>
    <w:rsid w:val="556D4434"/>
    <w:rsid w:val="55772AD7"/>
    <w:rsid w:val="559C59C0"/>
    <w:rsid w:val="55AB141B"/>
    <w:rsid w:val="55AB5B98"/>
    <w:rsid w:val="55C022BA"/>
    <w:rsid w:val="55C909CB"/>
    <w:rsid w:val="55CE2806"/>
    <w:rsid w:val="563F7711"/>
    <w:rsid w:val="565B189A"/>
    <w:rsid w:val="565B37BE"/>
    <w:rsid w:val="56897785"/>
    <w:rsid w:val="569B1267"/>
    <w:rsid w:val="56AC22C3"/>
    <w:rsid w:val="56EE4F2B"/>
    <w:rsid w:val="56FE3FDE"/>
    <w:rsid w:val="574C1255"/>
    <w:rsid w:val="575431DF"/>
    <w:rsid w:val="57553473"/>
    <w:rsid w:val="576747DC"/>
    <w:rsid w:val="57825648"/>
    <w:rsid w:val="578A6C00"/>
    <w:rsid w:val="57A3554A"/>
    <w:rsid w:val="57AA22D0"/>
    <w:rsid w:val="57AD4F45"/>
    <w:rsid w:val="57B36157"/>
    <w:rsid w:val="57B7551B"/>
    <w:rsid w:val="57CC0FC7"/>
    <w:rsid w:val="57DE5EB8"/>
    <w:rsid w:val="57FB5468"/>
    <w:rsid w:val="57FE63ED"/>
    <w:rsid w:val="581B7F1B"/>
    <w:rsid w:val="582161A3"/>
    <w:rsid w:val="58656008"/>
    <w:rsid w:val="58CB0104"/>
    <w:rsid w:val="58D21C48"/>
    <w:rsid w:val="58DB6CD4"/>
    <w:rsid w:val="58DE7C59"/>
    <w:rsid w:val="58E9186D"/>
    <w:rsid w:val="59036C6A"/>
    <w:rsid w:val="59284BD5"/>
    <w:rsid w:val="59B5223B"/>
    <w:rsid w:val="59F760A3"/>
    <w:rsid w:val="5A1F6067"/>
    <w:rsid w:val="5A3E219F"/>
    <w:rsid w:val="5A432DA3"/>
    <w:rsid w:val="5A546CEF"/>
    <w:rsid w:val="5A81068A"/>
    <w:rsid w:val="5A8A2BB3"/>
    <w:rsid w:val="5ABF5F70"/>
    <w:rsid w:val="5B214990"/>
    <w:rsid w:val="5B374935"/>
    <w:rsid w:val="5B9462A0"/>
    <w:rsid w:val="5B9B0DD6"/>
    <w:rsid w:val="5BA81D4B"/>
    <w:rsid w:val="5C2515A2"/>
    <w:rsid w:val="5C372A61"/>
    <w:rsid w:val="5C7834CB"/>
    <w:rsid w:val="5CB163A0"/>
    <w:rsid w:val="5CC22998"/>
    <w:rsid w:val="5CC26E3C"/>
    <w:rsid w:val="5CD22158"/>
    <w:rsid w:val="5CD37BDA"/>
    <w:rsid w:val="5CDC7EFE"/>
    <w:rsid w:val="5CED4F00"/>
    <w:rsid w:val="5CF15194"/>
    <w:rsid w:val="5CFA5765"/>
    <w:rsid w:val="5CFB5748"/>
    <w:rsid w:val="5CFC1050"/>
    <w:rsid w:val="5D0C1038"/>
    <w:rsid w:val="5D0F1FBD"/>
    <w:rsid w:val="5D762C66"/>
    <w:rsid w:val="5D891708"/>
    <w:rsid w:val="5D907F8D"/>
    <w:rsid w:val="5D9D04F4"/>
    <w:rsid w:val="5DA659B4"/>
    <w:rsid w:val="5DAB1E3B"/>
    <w:rsid w:val="5DB93D9B"/>
    <w:rsid w:val="5DDA56EA"/>
    <w:rsid w:val="5DDB040C"/>
    <w:rsid w:val="5DDD390F"/>
    <w:rsid w:val="5E062F2C"/>
    <w:rsid w:val="5E1614EB"/>
    <w:rsid w:val="5E1A7EF1"/>
    <w:rsid w:val="5E782489"/>
    <w:rsid w:val="5E787F6E"/>
    <w:rsid w:val="5E80348B"/>
    <w:rsid w:val="5ED460FD"/>
    <w:rsid w:val="5EDD1D0C"/>
    <w:rsid w:val="5EE475B9"/>
    <w:rsid w:val="5EEB49C6"/>
    <w:rsid w:val="5EFC6636"/>
    <w:rsid w:val="5F0955FB"/>
    <w:rsid w:val="5F474A18"/>
    <w:rsid w:val="5F517BED"/>
    <w:rsid w:val="5F590146"/>
    <w:rsid w:val="5F8623A3"/>
    <w:rsid w:val="5F944AC0"/>
    <w:rsid w:val="5FA7097C"/>
    <w:rsid w:val="5FA805FC"/>
    <w:rsid w:val="5FB32210"/>
    <w:rsid w:val="5FEE5FA9"/>
    <w:rsid w:val="5FFA67BD"/>
    <w:rsid w:val="600D76AB"/>
    <w:rsid w:val="6012002C"/>
    <w:rsid w:val="60837066"/>
    <w:rsid w:val="60CF0A1E"/>
    <w:rsid w:val="612C0778"/>
    <w:rsid w:val="61414E9A"/>
    <w:rsid w:val="614800A8"/>
    <w:rsid w:val="6162474A"/>
    <w:rsid w:val="619F2CB5"/>
    <w:rsid w:val="619F6539"/>
    <w:rsid w:val="61D66A13"/>
    <w:rsid w:val="61E60EAB"/>
    <w:rsid w:val="62246792"/>
    <w:rsid w:val="62934847"/>
    <w:rsid w:val="62E05BD0"/>
    <w:rsid w:val="62E33669"/>
    <w:rsid w:val="62E83F51"/>
    <w:rsid w:val="6324615B"/>
    <w:rsid w:val="63332842"/>
    <w:rsid w:val="634642EB"/>
    <w:rsid w:val="635A7DCF"/>
    <w:rsid w:val="638B61DA"/>
    <w:rsid w:val="639E361F"/>
    <w:rsid w:val="63A13700"/>
    <w:rsid w:val="63A3130C"/>
    <w:rsid w:val="63BF5E84"/>
    <w:rsid w:val="63C04115"/>
    <w:rsid w:val="63D0584D"/>
    <w:rsid w:val="63E458EA"/>
    <w:rsid w:val="640E2396"/>
    <w:rsid w:val="64122457"/>
    <w:rsid w:val="641A7B46"/>
    <w:rsid w:val="642A77A1"/>
    <w:rsid w:val="64414AEB"/>
    <w:rsid w:val="64451C8F"/>
    <w:rsid w:val="646666C9"/>
    <w:rsid w:val="64677C45"/>
    <w:rsid w:val="64746F5B"/>
    <w:rsid w:val="64A66A83"/>
    <w:rsid w:val="65171FE8"/>
    <w:rsid w:val="651A1DCE"/>
    <w:rsid w:val="65510D5D"/>
    <w:rsid w:val="657171FE"/>
    <w:rsid w:val="65891022"/>
    <w:rsid w:val="658948A5"/>
    <w:rsid w:val="65E43CBA"/>
    <w:rsid w:val="65F364D3"/>
    <w:rsid w:val="65FA25DA"/>
    <w:rsid w:val="664839DE"/>
    <w:rsid w:val="665C3E5E"/>
    <w:rsid w:val="66613283"/>
    <w:rsid w:val="669C425A"/>
    <w:rsid w:val="66A242BF"/>
    <w:rsid w:val="66C37AA5"/>
    <w:rsid w:val="66CD6B09"/>
    <w:rsid w:val="66E94D00"/>
    <w:rsid w:val="66F332D5"/>
    <w:rsid w:val="6709601B"/>
    <w:rsid w:val="670B371C"/>
    <w:rsid w:val="67193AFD"/>
    <w:rsid w:val="67237C71"/>
    <w:rsid w:val="673E51F0"/>
    <w:rsid w:val="674001A7"/>
    <w:rsid w:val="67514DA2"/>
    <w:rsid w:val="67617776"/>
    <w:rsid w:val="677478C8"/>
    <w:rsid w:val="6787171C"/>
    <w:rsid w:val="679115F6"/>
    <w:rsid w:val="67AC7A22"/>
    <w:rsid w:val="67B12224"/>
    <w:rsid w:val="67D143D7"/>
    <w:rsid w:val="67DB6373"/>
    <w:rsid w:val="67ED628D"/>
    <w:rsid w:val="67F4369A"/>
    <w:rsid w:val="67FA55A3"/>
    <w:rsid w:val="67FB68A8"/>
    <w:rsid w:val="681151C8"/>
    <w:rsid w:val="681C1AF7"/>
    <w:rsid w:val="683A59E3"/>
    <w:rsid w:val="68665F57"/>
    <w:rsid w:val="687E7D7B"/>
    <w:rsid w:val="693130A1"/>
    <w:rsid w:val="694806C9"/>
    <w:rsid w:val="69790F04"/>
    <w:rsid w:val="698536CB"/>
    <w:rsid w:val="69D07728"/>
    <w:rsid w:val="69FF6F72"/>
    <w:rsid w:val="6A6A3489"/>
    <w:rsid w:val="6A7C4ACE"/>
    <w:rsid w:val="6A906493"/>
    <w:rsid w:val="6B0074AE"/>
    <w:rsid w:val="6B090729"/>
    <w:rsid w:val="6B0F11E2"/>
    <w:rsid w:val="6B356FEF"/>
    <w:rsid w:val="6B947BF6"/>
    <w:rsid w:val="6BA82CA3"/>
    <w:rsid w:val="6BAA212D"/>
    <w:rsid w:val="6BF07722"/>
    <w:rsid w:val="6C0210B1"/>
    <w:rsid w:val="6C38059F"/>
    <w:rsid w:val="6C460D84"/>
    <w:rsid w:val="6C496EB7"/>
    <w:rsid w:val="6C497D31"/>
    <w:rsid w:val="6C6C60A4"/>
    <w:rsid w:val="6C7C0DB6"/>
    <w:rsid w:val="6C8947F6"/>
    <w:rsid w:val="6CB8716B"/>
    <w:rsid w:val="6CD61F9E"/>
    <w:rsid w:val="6CF3643A"/>
    <w:rsid w:val="6D035033"/>
    <w:rsid w:val="6D6E6C99"/>
    <w:rsid w:val="6D8F394B"/>
    <w:rsid w:val="6D9632D6"/>
    <w:rsid w:val="6DAF05E2"/>
    <w:rsid w:val="6DCA3B30"/>
    <w:rsid w:val="6DED1766"/>
    <w:rsid w:val="6DF139EF"/>
    <w:rsid w:val="6E3C2B6A"/>
    <w:rsid w:val="6E4647E1"/>
    <w:rsid w:val="6E4B22E9"/>
    <w:rsid w:val="6E6404AB"/>
    <w:rsid w:val="6E6E7F2A"/>
    <w:rsid w:val="6E725242"/>
    <w:rsid w:val="6E965EC4"/>
    <w:rsid w:val="6E992F04"/>
    <w:rsid w:val="6E9C3E88"/>
    <w:rsid w:val="6EAF50A7"/>
    <w:rsid w:val="6EB34837"/>
    <w:rsid w:val="6EC61449"/>
    <w:rsid w:val="6ED177DA"/>
    <w:rsid w:val="6EF62CBE"/>
    <w:rsid w:val="6F103A37"/>
    <w:rsid w:val="6F1D1E58"/>
    <w:rsid w:val="6F410D93"/>
    <w:rsid w:val="6F414750"/>
    <w:rsid w:val="6F4A74A4"/>
    <w:rsid w:val="6F8C7562"/>
    <w:rsid w:val="6F993A2D"/>
    <w:rsid w:val="6FCC6779"/>
    <w:rsid w:val="6FD04AFC"/>
    <w:rsid w:val="6FD31465"/>
    <w:rsid w:val="6FD47408"/>
    <w:rsid w:val="6FD8258B"/>
    <w:rsid w:val="6FEA15AC"/>
    <w:rsid w:val="6FF30BB6"/>
    <w:rsid w:val="700529B7"/>
    <w:rsid w:val="70065659"/>
    <w:rsid w:val="70113072"/>
    <w:rsid w:val="70173375"/>
    <w:rsid w:val="70335223"/>
    <w:rsid w:val="70546262"/>
    <w:rsid w:val="70676382"/>
    <w:rsid w:val="70934920"/>
    <w:rsid w:val="709848AF"/>
    <w:rsid w:val="70FA71EB"/>
    <w:rsid w:val="71072C18"/>
    <w:rsid w:val="71336FC4"/>
    <w:rsid w:val="71355DD4"/>
    <w:rsid w:val="714E2581"/>
    <w:rsid w:val="714F48D0"/>
    <w:rsid w:val="715F110D"/>
    <w:rsid w:val="718E63D9"/>
    <w:rsid w:val="71A62431"/>
    <w:rsid w:val="71A74D85"/>
    <w:rsid w:val="71AD37BF"/>
    <w:rsid w:val="71B43E9D"/>
    <w:rsid w:val="71C80B3D"/>
    <w:rsid w:val="71CC00E9"/>
    <w:rsid w:val="71CD585B"/>
    <w:rsid w:val="71F21D23"/>
    <w:rsid w:val="71FA157E"/>
    <w:rsid w:val="72391D2D"/>
    <w:rsid w:val="72401A80"/>
    <w:rsid w:val="7251199A"/>
    <w:rsid w:val="7254291F"/>
    <w:rsid w:val="72834520"/>
    <w:rsid w:val="729E5448"/>
    <w:rsid w:val="72C46456"/>
    <w:rsid w:val="72CC5B95"/>
    <w:rsid w:val="72D66D46"/>
    <w:rsid w:val="72D73317"/>
    <w:rsid w:val="72E01973"/>
    <w:rsid w:val="73686F64"/>
    <w:rsid w:val="73763CFB"/>
    <w:rsid w:val="737F6B89"/>
    <w:rsid w:val="737F73DD"/>
    <w:rsid w:val="739003CE"/>
    <w:rsid w:val="739A0A38"/>
    <w:rsid w:val="73C31BFC"/>
    <w:rsid w:val="73C3551C"/>
    <w:rsid w:val="73CD470A"/>
    <w:rsid w:val="73F80DD1"/>
    <w:rsid w:val="742F2BB2"/>
    <w:rsid w:val="744D3038"/>
    <w:rsid w:val="7457466E"/>
    <w:rsid w:val="745C0AF6"/>
    <w:rsid w:val="74694588"/>
    <w:rsid w:val="749B1FF5"/>
    <w:rsid w:val="74AE17FA"/>
    <w:rsid w:val="74B72109"/>
    <w:rsid w:val="74C04F97"/>
    <w:rsid w:val="74C70B29"/>
    <w:rsid w:val="74D12A3C"/>
    <w:rsid w:val="74FA76FB"/>
    <w:rsid w:val="750D5096"/>
    <w:rsid w:val="75422471"/>
    <w:rsid w:val="75614FED"/>
    <w:rsid w:val="75732515"/>
    <w:rsid w:val="75734D20"/>
    <w:rsid w:val="7585185D"/>
    <w:rsid w:val="75E91581"/>
    <w:rsid w:val="75E95CFE"/>
    <w:rsid w:val="76070B31"/>
    <w:rsid w:val="761C7166"/>
    <w:rsid w:val="762304F4"/>
    <w:rsid w:val="76BF02E0"/>
    <w:rsid w:val="76C57C6B"/>
    <w:rsid w:val="76E82CD8"/>
    <w:rsid w:val="77673652"/>
    <w:rsid w:val="77740D08"/>
    <w:rsid w:val="7776420B"/>
    <w:rsid w:val="778D7463"/>
    <w:rsid w:val="77942363"/>
    <w:rsid w:val="77C76B0B"/>
    <w:rsid w:val="77E757C4"/>
    <w:rsid w:val="780F6F82"/>
    <w:rsid w:val="78131B3E"/>
    <w:rsid w:val="783267CC"/>
    <w:rsid w:val="784A5BBA"/>
    <w:rsid w:val="788469D1"/>
    <w:rsid w:val="790E68AB"/>
    <w:rsid w:val="79522E9F"/>
    <w:rsid w:val="795B1D53"/>
    <w:rsid w:val="796C3F60"/>
    <w:rsid w:val="79756754"/>
    <w:rsid w:val="797A0159"/>
    <w:rsid w:val="7997722F"/>
    <w:rsid w:val="79990A0D"/>
    <w:rsid w:val="79AE5130"/>
    <w:rsid w:val="79D704F2"/>
    <w:rsid w:val="79E06C03"/>
    <w:rsid w:val="79E7658E"/>
    <w:rsid w:val="79F57AA2"/>
    <w:rsid w:val="79F964A8"/>
    <w:rsid w:val="7A081EDB"/>
    <w:rsid w:val="7A184DCD"/>
    <w:rsid w:val="7A1E0B5C"/>
    <w:rsid w:val="7A5944E4"/>
    <w:rsid w:val="7A610456"/>
    <w:rsid w:val="7A6115EB"/>
    <w:rsid w:val="7A6300D6"/>
    <w:rsid w:val="7A812F09"/>
    <w:rsid w:val="7AAD2AD4"/>
    <w:rsid w:val="7AC9440C"/>
    <w:rsid w:val="7AD16771"/>
    <w:rsid w:val="7AF244C2"/>
    <w:rsid w:val="7B186900"/>
    <w:rsid w:val="7B2F66C9"/>
    <w:rsid w:val="7B3B2338"/>
    <w:rsid w:val="7B817BC1"/>
    <w:rsid w:val="7BA051AE"/>
    <w:rsid w:val="7BCD512A"/>
    <w:rsid w:val="7BF42DEB"/>
    <w:rsid w:val="7C0F7FDD"/>
    <w:rsid w:val="7C461570"/>
    <w:rsid w:val="7C4E2200"/>
    <w:rsid w:val="7C532F51"/>
    <w:rsid w:val="7C952974"/>
    <w:rsid w:val="7CA4518D"/>
    <w:rsid w:val="7CC940C8"/>
    <w:rsid w:val="7CE502B1"/>
    <w:rsid w:val="7D1379BF"/>
    <w:rsid w:val="7D7265C6"/>
    <w:rsid w:val="7D744634"/>
    <w:rsid w:val="7D9817C8"/>
    <w:rsid w:val="7DC54C7D"/>
    <w:rsid w:val="7DC62CE6"/>
    <w:rsid w:val="7DD86484"/>
    <w:rsid w:val="7DF30332"/>
    <w:rsid w:val="7E01736D"/>
    <w:rsid w:val="7E1D36F5"/>
    <w:rsid w:val="7E230FC8"/>
    <w:rsid w:val="7E7A0ECD"/>
    <w:rsid w:val="7E7B17D5"/>
    <w:rsid w:val="7EEA1BAF"/>
    <w:rsid w:val="7EF53273"/>
    <w:rsid w:val="7F5A30FD"/>
    <w:rsid w:val="7F751728"/>
    <w:rsid w:val="7F7B6CAB"/>
    <w:rsid w:val="7FC31BC8"/>
    <w:rsid w:val="7FDC23D1"/>
    <w:rsid w:val="7FE66564"/>
    <w:rsid w:val="7FEF6E73"/>
    <w:rsid w:val="7FF07D3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9">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character" w:styleId="10">
    <w:name w:val="Hyperlink"/>
    <w:qFormat/>
    <w:uiPriority w:val="0"/>
    <w:rPr>
      <w:color w:val="0000FF"/>
      <w:u w:val="single"/>
    </w:rPr>
  </w:style>
  <w:style w:type="character" w:styleId="11">
    <w:name w:val="annotation reference"/>
    <w:unhideWhenUsed/>
    <w:qFormat/>
    <w:uiPriority w:val="0"/>
    <w:rPr>
      <w:sz w:val="21"/>
      <w:szCs w:val="21"/>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18</Pages>
  <Words>17047</Words>
  <Characters>17602</Characters>
  <Lines>127</Lines>
  <Paragraphs>35</Paragraphs>
  <TotalTime>6</TotalTime>
  <ScaleCrop>false</ScaleCrop>
  <LinksUpToDate>false</LinksUpToDate>
  <CharactersWithSpaces>17873</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crcb</cp:lastModifiedBy>
  <cp:lastPrinted>2025-11-24T06:34:00Z</cp:lastPrinted>
  <dcterms:modified xsi:type="dcterms:W3CDTF">2026-01-26T08:54:12Z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y fmtid="{D5CDD505-2E9C-101B-9397-08002B2CF9AE}" pid="3" name="ICV">
    <vt:lpwstr>5E10E64B7AA24CFF839CE3B0FAC42EAB</vt:lpwstr>
  </property>
  <property fmtid="{D5CDD505-2E9C-101B-9397-08002B2CF9AE}" pid="4" name="KSOTemplateDocerSaveRecord">
    <vt:lpwstr>eyJoZGlkIjoiMDdkM2RkMjAyMjEzODA2NTU2Njg0NjE5NDI2NGZhMjEiLCJ1c2VySWQiOiIyNjM4Nzg3MzkifQ==</vt:lpwstr>
  </property>
</Properties>
</file>