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江川兴福村镇银行股份有限公司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年半年度第三支柱信息披露报告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公司为非国内系统重要性银行，根据《商业银行资本管理办法》（以下简称“办法”），公司属于第三档商业银行，按照办法附件</w:t>
      </w:r>
      <w:r>
        <w:rPr>
          <w:rFonts w:ascii="仿宋" w:hAnsi="仿宋" w:eastAsia="仿宋" w:cs="仿宋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《第三档商业银行资本监管规定》，本期公司需披露的报表如附表一：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附表一：</w:t>
      </w:r>
    </w:p>
    <w:p>
      <w:pPr>
        <w:spacing w:before="156" w:beforeLines="50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关键审慎监管指标</w:t>
      </w:r>
    </w:p>
    <w:p>
      <w:pPr>
        <w:jc w:val="right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单位：人民币万元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765"/>
        <w:gridCol w:w="1440"/>
        <w:gridCol w:w="15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75" w:type="pct"/>
            <w:gridSpan w:val="2"/>
            <w:vMerge w:val="restart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  <w:lang w:eastAsia="zh-CN"/>
              </w:rPr>
            </w:pP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a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75" w:type="pct"/>
            <w:gridSpan w:val="2"/>
            <w:vMerge w:val="continue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可用资本（数额）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1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核心一级资本净额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 xml:space="preserve">13084.14 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12181.15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2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资本净额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 xml:space="preserve">15251.16 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14902.81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  <w:lang w:eastAsia="zh-CN"/>
              </w:rPr>
              <w:t>风险加权资产（数额）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3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信用风险加权资产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 xml:space="preserve">64116.28 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69678.72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4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操作风险加权资产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 xml:space="preserve">12032.91 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12032.91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5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风险加权资产合计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 xml:space="preserve">76149.19 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81711.64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资本充足率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tcBorders>
              <w:left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6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核心一级资本充足率（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17.18%</w:t>
            </w:r>
          </w:p>
        </w:tc>
        <w:tc>
          <w:tcPr>
            <w:tcW w:w="778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14.91%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7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资本充足率（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20.03%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 Unicode MS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18.24%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8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调整后表内外资产余额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 xml:space="preserve">121736.51 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123533.9</w:t>
            </w: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9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10.75%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9.86%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10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杠杆率a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10.75%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9.86%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流动性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11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优质流动性资产充足率（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162.90%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16.56%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12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流动性比例（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236.53%</w:t>
            </w:r>
          </w:p>
        </w:tc>
        <w:tc>
          <w:tcPr>
            <w:tcW w:w="77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128.17%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13</w:t>
            </w:r>
          </w:p>
        </w:tc>
        <w:tc>
          <w:tcPr>
            <w:tcW w:w="2987" w:type="pct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流动性匹配率（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746" w:type="pct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154.40%</w:t>
            </w:r>
          </w:p>
        </w:tc>
        <w:tc>
          <w:tcPr>
            <w:tcW w:w="778" w:type="pct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145.38%</w:t>
            </w:r>
          </w:p>
        </w:tc>
      </w:tr>
    </w:tbl>
    <w:p>
      <w:pPr>
        <w:rPr>
          <w:rFonts w:ascii="仿宋" w:hAnsi="仿宋" w:eastAsia="仿宋" w:cs="仿宋"/>
          <w:lang w:eastAsia="zh-CN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050"/>
    <w:rsid w:val="00102C97"/>
    <w:rsid w:val="001501A6"/>
    <w:rsid w:val="00172A27"/>
    <w:rsid w:val="002072B6"/>
    <w:rsid w:val="00215F8A"/>
    <w:rsid w:val="00223FDE"/>
    <w:rsid w:val="0025279F"/>
    <w:rsid w:val="00331308"/>
    <w:rsid w:val="006E6510"/>
    <w:rsid w:val="00731161"/>
    <w:rsid w:val="00766A65"/>
    <w:rsid w:val="00844913"/>
    <w:rsid w:val="00894CEA"/>
    <w:rsid w:val="00B87DD9"/>
    <w:rsid w:val="00EA19F5"/>
    <w:rsid w:val="0414292B"/>
    <w:rsid w:val="08F972CE"/>
    <w:rsid w:val="09CD2478"/>
    <w:rsid w:val="0AC44E30"/>
    <w:rsid w:val="0D876BC0"/>
    <w:rsid w:val="0F6F1A71"/>
    <w:rsid w:val="0FE8639C"/>
    <w:rsid w:val="12AD6EB2"/>
    <w:rsid w:val="1AED137F"/>
    <w:rsid w:val="1C1A5F0B"/>
    <w:rsid w:val="23D22653"/>
    <w:rsid w:val="283B4790"/>
    <w:rsid w:val="2F797033"/>
    <w:rsid w:val="33191FB8"/>
    <w:rsid w:val="359527F5"/>
    <w:rsid w:val="3B084B8F"/>
    <w:rsid w:val="456E53FE"/>
    <w:rsid w:val="46244422"/>
    <w:rsid w:val="4C2645C5"/>
    <w:rsid w:val="4D3D0AB6"/>
    <w:rsid w:val="52FE6B4C"/>
    <w:rsid w:val="531262D1"/>
    <w:rsid w:val="553D751D"/>
    <w:rsid w:val="56FF5ECE"/>
    <w:rsid w:val="587C6CBB"/>
    <w:rsid w:val="5BFC24EF"/>
    <w:rsid w:val="5CEE212D"/>
    <w:rsid w:val="5ED73B27"/>
    <w:rsid w:val="64693149"/>
    <w:rsid w:val="66716DA1"/>
    <w:rsid w:val="68554D6F"/>
    <w:rsid w:val="68BB73E0"/>
    <w:rsid w:val="68D4658B"/>
    <w:rsid w:val="6CC249E2"/>
    <w:rsid w:val="6DFA4790"/>
    <w:rsid w:val="712F63C0"/>
    <w:rsid w:val="737B5A5E"/>
    <w:rsid w:val="78E045B2"/>
    <w:rsid w:val="7BA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2024-08-14T01:42:00Z</dcterms:created>
  <dc:creator>何时凤</dc:creator>
  <cp:lastModifiedBy>Administrator</cp:lastModifiedBy>
  <cp:lastPrinted>2024-04-26T03:51:00Z</cp:lastPrinted>
  <dcterms:modified xsi:type="dcterms:W3CDTF">2025-08-30T02:17:27Z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B1E43784FBA54330A94C65AC8CC687C5</vt:lpwstr>
  </property>
</Properties>
</file>