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rPr>
          <w:rFonts w:hint="eastAsia" w:ascii="宋体" w:hAnsi="宋体" w:cs="宋体"/>
          <w:b/>
          <w:color w:val="auto"/>
          <w:sz w:val="44"/>
          <w:szCs w:val="44"/>
          <w:lang w:val="en-US" w:eastAsia="zh-CN"/>
        </w:rPr>
      </w:pPr>
    </w:p>
    <w:p>
      <w:pPr>
        <w:keepNext w:val="0"/>
        <w:keepLines w:val="0"/>
        <w:pageBreakBefore w:val="0"/>
        <w:kinsoku/>
        <w:wordWrap/>
        <w:overflowPunct/>
        <w:topLinePunct w:val="0"/>
        <w:autoSpaceDE/>
        <w:autoSpaceDN/>
        <w:bidi w:val="0"/>
        <w:spacing w:line="560" w:lineRule="exact"/>
        <w:jc w:val="center"/>
        <w:rPr>
          <w:rFonts w:hint="eastAsia" w:ascii="宋体" w:hAnsi="宋体" w:cs="宋体"/>
          <w:b/>
          <w:color w:val="auto"/>
          <w:sz w:val="44"/>
          <w:szCs w:val="44"/>
          <w:lang w:val="en-US" w:eastAsia="zh-CN"/>
        </w:rPr>
      </w:pPr>
    </w:p>
    <w:p>
      <w:pPr>
        <w:keepNext w:val="0"/>
        <w:keepLines w:val="0"/>
        <w:pageBreakBefore w:val="0"/>
        <w:kinsoku/>
        <w:wordWrap/>
        <w:overflowPunct/>
        <w:topLinePunct w:val="0"/>
        <w:autoSpaceDE/>
        <w:autoSpaceDN/>
        <w:bidi w:val="0"/>
        <w:spacing w:line="560" w:lineRule="exact"/>
        <w:jc w:val="center"/>
        <w:rPr>
          <w:rFonts w:hint="eastAsia" w:ascii="宋体" w:hAnsi="宋体" w:cs="宋体"/>
          <w:b/>
          <w:color w:val="auto"/>
          <w:sz w:val="44"/>
          <w:szCs w:val="44"/>
          <w:lang w:val="en-US" w:eastAsia="zh-CN"/>
        </w:rPr>
      </w:pPr>
      <w:bookmarkStart w:id="0" w:name="_GoBack"/>
      <w:bookmarkEnd w:id="0"/>
    </w:p>
    <w:p>
      <w:pPr>
        <w:keepNext w:val="0"/>
        <w:keepLines w:val="0"/>
        <w:pageBreakBefore w:val="0"/>
        <w:kinsoku/>
        <w:wordWrap/>
        <w:overflowPunct/>
        <w:topLinePunct w:val="0"/>
        <w:autoSpaceDE/>
        <w:autoSpaceDN/>
        <w:bidi w:val="0"/>
        <w:spacing w:line="560" w:lineRule="exact"/>
        <w:jc w:val="center"/>
        <w:rPr>
          <w:rFonts w:hint="eastAsia" w:ascii="宋体" w:hAnsi="宋体" w:cs="宋体"/>
          <w:b/>
          <w:color w:val="auto"/>
          <w:sz w:val="44"/>
          <w:szCs w:val="44"/>
          <w:lang w:val="en-US" w:eastAsia="zh-CN"/>
        </w:rPr>
      </w:pPr>
    </w:p>
    <w:p>
      <w:pPr>
        <w:keepNext w:val="0"/>
        <w:keepLines w:val="0"/>
        <w:pageBreakBefore w:val="0"/>
        <w:kinsoku/>
        <w:wordWrap/>
        <w:overflowPunct/>
        <w:topLinePunct w:val="0"/>
        <w:autoSpaceDE/>
        <w:autoSpaceDN/>
        <w:bidi w:val="0"/>
        <w:spacing w:line="560" w:lineRule="exact"/>
        <w:jc w:val="center"/>
        <w:rPr>
          <w:rFonts w:hint="eastAsia" w:ascii="宋体" w:hAnsi="宋体" w:cs="宋体"/>
          <w:b/>
          <w:color w:val="auto"/>
          <w:sz w:val="44"/>
          <w:szCs w:val="44"/>
          <w:lang w:val="en-US" w:eastAsia="zh-CN"/>
        </w:rPr>
      </w:pPr>
    </w:p>
    <w:p>
      <w:pPr>
        <w:keepNext w:val="0"/>
        <w:keepLines w:val="0"/>
        <w:pageBreakBefore w:val="0"/>
        <w:kinsoku/>
        <w:wordWrap/>
        <w:overflowPunct/>
        <w:topLinePunct w:val="0"/>
        <w:autoSpaceDE/>
        <w:autoSpaceDN/>
        <w:bidi w:val="0"/>
        <w:spacing w:line="560" w:lineRule="exact"/>
        <w:jc w:val="center"/>
        <w:rPr>
          <w:rFonts w:hint="eastAsia" w:ascii="宋体" w:hAnsi="宋体" w:cs="宋体"/>
          <w:b/>
          <w:color w:val="auto"/>
          <w:sz w:val="44"/>
          <w:szCs w:val="44"/>
          <w:lang w:val="en-US" w:eastAsia="zh-CN"/>
        </w:rPr>
      </w:pPr>
    </w:p>
    <w:p>
      <w:pPr>
        <w:keepNext w:val="0"/>
        <w:keepLines w:val="0"/>
        <w:pageBreakBefore w:val="0"/>
        <w:kinsoku/>
        <w:wordWrap/>
        <w:overflowPunct/>
        <w:topLinePunct w:val="0"/>
        <w:autoSpaceDE/>
        <w:autoSpaceDN/>
        <w:bidi w:val="0"/>
        <w:spacing w:line="560" w:lineRule="exact"/>
        <w:jc w:val="center"/>
        <w:rPr>
          <w:rFonts w:hint="eastAsia" w:ascii="宋体" w:hAnsi="宋体" w:cs="宋体"/>
          <w:b/>
          <w:color w:val="auto"/>
          <w:sz w:val="44"/>
          <w:szCs w:val="44"/>
        </w:rPr>
      </w:pPr>
      <w:r>
        <w:rPr>
          <w:rFonts w:hint="eastAsia" w:ascii="宋体" w:hAnsi="宋体" w:cs="宋体"/>
          <w:b/>
          <w:color w:val="auto"/>
          <w:sz w:val="44"/>
          <w:szCs w:val="44"/>
          <w:lang w:val="en-US" w:eastAsia="zh-CN"/>
        </w:rPr>
        <w:t>江苏赣榆</w:t>
      </w:r>
      <w:r>
        <w:rPr>
          <w:rFonts w:hint="eastAsia" w:ascii="宋体" w:hAnsi="宋体" w:cs="宋体"/>
          <w:b/>
          <w:color w:val="auto"/>
          <w:sz w:val="44"/>
          <w:szCs w:val="44"/>
        </w:rPr>
        <w:t>兴福村镇银行</w:t>
      </w:r>
      <w:r>
        <w:rPr>
          <w:rFonts w:hint="eastAsia" w:ascii="宋体" w:hAnsi="宋体" w:cs="宋体"/>
          <w:b/>
          <w:color w:val="auto"/>
          <w:sz w:val="44"/>
          <w:szCs w:val="44"/>
          <w:lang w:val="en-US" w:eastAsia="zh-CN"/>
        </w:rPr>
        <w:t>股份</w:t>
      </w:r>
      <w:r>
        <w:rPr>
          <w:rFonts w:hint="eastAsia" w:ascii="宋体" w:hAnsi="宋体" w:cs="宋体"/>
          <w:b/>
          <w:color w:val="auto"/>
          <w:sz w:val="44"/>
          <w:szCs w:val="44"/>
        </w:rPr>
        <w:t>有限公司</w:t>
      </w:r>
    </w:p>
    <w:p>
      <w:pPr>
        <w:keepNext w:val="0"/>
        <w:keepLines w:val="0"/>
        <w:pageBreakBefore w:val="0"/>
        <w:kinsoku/>
        <w:wordWrap/>
        <w:overflowPunct/>
        <w:topLinePunct w:val="0"/>
        <w:autoSpaceDE/>
        <w:autoSpaceDN/>
        <w:bidi w:val="0"/>
        <w:spacing w:line="560" w:lineRule="exact"/>
        <w:jc w:val="center"/>
        <w:rPr>
          <w:rFonts w:hint="eastAsia" w:ascii="宋体" w:hAnsi="宋体" w:cs="宋体"/>
          <w:b/>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ascii="宋体" w:hAnsi="宋体" w:cs="宋体"/>
          <w:b/>
          <w:color w:val="auto"/>
          <w:sz w:val="44"/>
          <w:szCs w:val="44"/>
        </w:rPr>
      </w:pPr>
      <w:r>
        <w:rPr>
          <w:rFonts w:hint="eastAsia" w:ascii="宋体" w:hAnsi="宋体" w:cs="宋体"/>
          <w:b/>
          <w:color w:val="auto"/>
          <w:sz w:val="44"/>
          <w:szCs w:val="44"/>
          <w:lang w:eastAsia="zh-CN"/>
        </w:rPr>
        <w:t>20</w:t>
      </w:r>
      <w:r>
        <w:rPr>
          <w:rFonts w:hint="eastAsia" w:ascii="宋体" w:hAnsi="宋体" w:cs="宋体"/>
          <w:b/>
          <w:color w:val="auto"/>
          <w:sz w:val="44"/>
          <w:szCs w:val="44"/>
          <w:lang w:val="en-US" w:eastAsia="zh-CN"/>
        </w:rPr>
        <w:t>25</w:t>
      </w:r>
      <w:r>
        <w:rPr>
          <w:rFonts w:hint="eastAsia" w:ascii="宋体" w:hAnsi="宋体" w:cs="宋体"/>
          <w:b/>
          <w:color w:val="auto"/>
          <w:sz w:val="44"/>
          <w:szCs w:val="44"/>
        </w:rPr>
        <w:t>年度信息披露报告</w:t>
      </w:r>
    </w:p>
    <w:p>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b/>
          <w:bCs/>
          <w:color w:val="auto"/>
          <w:sz w:val="32"/>
          <w:szCs w:val="32"/>
        </w:rPr>
      </w:pPr>
    </w:p>
    <w:p>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b/>
          <w:bCs/>
          <w:color w:val="auto"/>
          <w:sz w:val="32"/>
          <w:szCs w:val="32"/>
        </w:rPr>
      </w:pPr>
    </w:p>
    <w:p>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b/>
          <w:bCs/>
          <w:color w:val="auto"/>
          <w:sz w:val="32"/>
          <w:szCs w:val="32"/>
        </w:rPr>
      </w:pPr>
    </w:p>
    <w:p>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b/>
          <w:bCs/>
          <w:color w:val="auto"/>
          <w:sz w:val="32"/>
          <w:szCs w:val="32"/>
        </w:rPr>
      </w:pPr>
    </w:p>
    <w:p>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b/>
          <w:bCs/>
          <w:color w:val="auto"/>
          <w:sz w:val="32"/>
          <w:szCs w:val="32"/>
        </w:rPr>
      </w:pPr>
    </w:p>
    <w:p>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b/>
          <w:bCs/>
          <w:color w:val="auto"/>
          <w:sz w:val="32"/>
          <w:szCs w:val="32"/>
        </w:rPr>
      </w:pPr>
    </w:p>
    <w:p>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b/>
          <w:bCs/>
          <w:color w:val="auto"/>
          <w:sz w:val="32"/>
          <w:szCs w:val="32"/>
        </w:rPr>
      </w:pPr>
    </w:p>
    <w:p>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b/>
          <w:bCs/>
          <w:color w:val="auto"/>
          <w:sz w:val="32"/>
          <w:szCs w:val="32"/>
        </w:rPr>
      </w:pPr>
    </w:p>
    <w:p>
      <w:pPr>
        <w:keepNext w:val="0"/>
        <w:keepLines w:val="0"/>
        <w:pageBreakBefore w:val="0"/>
        <w:kinsoku/>
        <w:wordWrap/>
        <w:overflowPunct/>
        <w:topLinePunct w:val="0"/>
        <w:autoSpaceDE/>
        <w:autoSpaceDN/>
        <w:bidi w:val="0"/>
        <w:spacing w:line="560" w:lineRule="exact"/>
        <w:jc w:val="both"/>
        <w:rPr>
          <w:rFonts w:hint="eastAsia" w:ascii="仿宋_GB2312" w:hAnsi="宋体" w:eastAsia="仿宋_GB2312"/>
          <w:b/>
          <w:bCs/>
          <w:color w:val="auto"/>
          <w:sz w:val="32"/>
          <w:szCs w:val="32"/>
        </w:rPr>
      </w:pPr>
    </w:p>
    <w:p>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b/>
          <w:bCs/>
          <w:color w:val="auto"/>
          <w:sz w:val="32"/>
          <w:szCs w:val="32"/>
        </w:rPr>
      </w:pPr>
    </w:p>
    <w:p>
      <w:pPr>
        <w:keepNext w:val="0"/>
        <w:keepLines w:val="0"/>
        <w:pageBreakBefore w:val="0"/>
        <w:kinsoku/>
        <w:wordWrap/>
        <w:overflowPunct/>
        <w:topLinePunct w:val="0"/>
        <w:autoSpaceDE/>
        <w:autoSpaceDN/>
        <w:bidi w:val="0"/>
        <w:spacing w:line="560" w:lineRule="exact"/>
        <w:rPr>
          <w:rFonts w:hint="eastAsia" w:ascii="仿宋_GB2312" w:hAnsi="宋体" w:eastAsia="仿宋_GB2312"/>
          <w:b/>
          <w:bCs/>
          <w:color w:val="auto"/>
          <w:sz w:val="32"/>
          <w:szCs w:val="32"/>
        </w:rPr>
      </w:pPr>
    </w:p>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bCs/>
          <w:color w:val="auto"/>
          <w:sz w:val="32"/>
          <w:szCs w:val="32"/>
          <w:highlight w:val="none"/>
        </w:rPr>
      </w:pPr>
      <w:r>
        <w:rPr>
          <w:rFonts w:hint="eastAsia" w:ascii="仿宋" w:hAnsi="仿宋" w:eastAsia="仿宋" w:cs="仿宋"/>
          <w:b/>
          <w:bCs/>
          <w:color w:val="auto"/>
          <w:sz w:val="32"/>
          <w:szCs w:val="32"/>
          <w:highlight w:val="none"/>
        </w:rPr>
        <w:t xml:space="preserve"> </w:t>
      </w:r>
      <w:r>
        <w:rPr>
          <w:rFonts w:hint="eastAsia"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6</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4</w:t>
      </w:r>
      <w:r>
        <w:rPr>
          <w:rFonts w:hint="eastAsia" w:ascii="仿宋" w:hAnsi="仿宋" w:eastAsia="仿宋" w:cs="仿宋"/>
          <w:bCs/>
          <w:color w:val="auto"/>
          <w:sz w:val="32"/>
          <w:szCs w:val="32"/>
          <w:highlight w:val="none"/>
        </w:rPr>
        <w:t>月</w:t>
      </w:r>
      <w:r>
        <w:rPr>
          <w:rFonts w:hint="eastAsia" w:ascii="仿宋" w:hAnsi="仿宋" w:eastAsia="仿宋" w:cs="仿宋"/>
          <w:bCs/>
          <w:color w:val="auto"/>
          <w:sz w:val="32"/>
          <w:szCs w:val="32"/>
          <w:highlight w:val="none"/>
          <w:lang w:val="en-US" w:eastAsia="zh-CN"/>
        </w:rPr>
        <w:t>21</w:t>
      </w:r>
      <w:r>
        <w:rPr>
          <w:rFonts w:hint="eastAsia" w:ascii="仿宋" w:hAnsi="仿宋" w:eastAsia="仿宋" w:cs="仿宋"/>
          <w:bCs/>
          <w:color w:val="auto"/>
          <w:sz w:val="32"/>
          <w:szCs w:val="32"/>
          <w:highlight w:val="none"/>
        </w:rPr>
        <w:t>日</w:t>
      </w:r>
    </w:p>
    <w:p>
      <w:pPr>
        <w:keepNext w:val="0"/>
        <w:keepLines w:val="0"/>
        <w:pageBreakBefore w:val="0"/>
        <w:kinsoku/>
        <w:wordWrap/>
        <w:overflowPunct/>
        <w:topLinePunct w:val="0"/>
        <w:autoSpaceDE/>
        <w:autoSpaceDN/>
        <w:bidi w:val="0"/>
        <w:spacing w:line="560" w:lineRule="exact"/>
        <w:rPr>
          <w:rFonts w:hint="eastAsia" w:ascii="仿宋_GB2312" w:hAnsi="宋体" w:eastAsia="仿宋_GB2312"/>
          <w:b/>
          <w:color w:val="auto"/>
          <w:sz w:val="32"/>
          <w:szCs w:val="32"/>
          <w:highlight w:val="none"/>
        </w:rPr>
        <w:sectPr>
          <w:headerReference r:id="rId3" w:type="default"/>
          <w:footerReference r:id="rId4" w:type="default"/>
          <w:footerReference r:id="rId5" w:type="even"/>
          <w:pgSz w:w="11906" w:h="16838"/>
          <w:pgMar w:top="1440" w:right="1803" w:bottom="1440" w:left="1803" w:header="0" w:footer="1588" w:gutter="0"/>
          <w:pgNumType w:fmt="decimalFullWidth"/>
          <w:cols w:space="720" w:num="1"/>
          <w:docGrid w:type="lines" w:linePitch="312" w:charSpace="0"/>
        </w:sectPr>
      </w:pPr>
    </w:p>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目    录</w:t>
      </w:r>
    </w:p>
    <w:p>
      <w:pPr>
        <w:keepNext w:val="0"/>
        <w:keepLines w:val="0"/>
        <w:pageBreakBefore w:val="0"/>
        <w:kinsoku/>
        <w:wordWrap/>
        <w:overflowPunct/>
        <w:topLinePunct w:val="0"/>
        <w:autoSpaceDE/>
        <w:autoSpaceDN/>
        <w:bidi w:val="0"/>
        <w:spacing w:line="560" w:lineRule="exact"/>
        <w:rPr>
          <w:rFonts w:hint="eastAsia" w:ascii="仿宋" w:hAnsi="仿宋" w:eastAsia="仿宋" w:cs="仿宋"/>
          <w:b/>
          <w:color w:val="auto"/>
          <w:sz w:val="32"/>
          <w:szCs w:val="32"/>
        </w:rPr>
      </w:pPr>
      <w:r>
        <w:rPr>
          <w:rFonts w:hint="eastAsia" w:ascii="仿宋" w:hAnsi="仿宋" w:eastAsia="仿宋" w:cs="仿宋"/>
          <w:b/>
          <w:color w:val="auto"/>
          <w:sz w:val="32"/>
          <w:szCs w:val="32"/>
        </w:rPr>
        <w:t>1.重要提示.....................................1</w:t>
      </w:r>
    </w:p>
    <w:p>
      <w:pPr>
        <w:keepNext w:val="0"/>
        <w:keepLines w:val="0"/>
        <w:pageBreakBefore w:val="0"/>
        <w:kinsoku/>
        <w:wordWrap/>
        <w:overflowPunct/>
        <w:topLinePunct w:val="0"/>
        <w:autoSpaceDE/>
        <w:autoSpaceDN/>
        <w:bidi w:val="0"/>
        <w:spacing w:line="560" w:lineRule="exact"/>
        <w:jc w:val="left"/>
        <w:rPr>
          <w:rFonts w:hint="eastAsia" w:ascii="仿宋" w:hAnsi="仿宋" w:eastAsia="仿宋" w:cs="仿宋"/>
          <w:b/>
          <w:color w:val="auto"/>
          <w:sz w:val="32"/>
          <w:szCs w:val="32"/>
        </w:rPr>
      </w:pPr>
      <w:r>
        <w:rPr>
          <w:rFonts w:hint="eastAsia" w:ascii="仿宋" w:hAnsi="仿宋" w:eastAsia="仿宋" w:cs="仿宋"/>
          <w:b/>
          <w:color w:val="auto"/>
          <w:sz w:val="32"/>
          <w:szCs w:val="32"/>
        </w:rPr>
        <w:t>2.</w:t>
      </w:r>
      <w:r>
        <w:rPr>
          <w:rFonts w:hint="eastAsia" w:ascii="仿宋" w:hAnsi="仿宋" w:eastAsia="仿宋" w:cs="仿宋"/>
          <w:b/>
          <w:color w:val="auto"/>
          <w:sz w:val="32"/>
          <w:szCs w:val="32"/>
          <w:lang w:val="en-US" w:eastAsia="zh-CN"/>
        </w:rPr>
        <w:t>赣榆</w:t>
      </w:r>
      <w:r>
        <w:rPr>
          <w:rFonts w:hint="eastAsia" w:ascii="仿宋" w:hAnsi="仿宋" w:eastAsia="仿宋" w:cs="仿宋"/>
          <w:b/>
          <w:color w:val="auto"/>
          <w:sz w:val="32"/>
          <w:szCs w:val="32"/>
        </w:rPr>
        <w:t>兴福村镇银行基本情况简介.....................1</w:t>
      </w:r>
    </w:p>
    <w:p>
      <w:pPr>
        <w:keepNext w:val="0"/>
        <w:keepLines w:val="0"/>
        <w:pageBreakBefore w:val="0"/>
        <w:kinsoku/>
        <w:wordWrap/>
        <w:overflowPunct/>
        <w:topLinePunct w:val="0"/>
        <w:autoSpaceDE/>
        <w:autoSpaceDN/>
        <w:bidi w:val="0"/>
        <w:spacing w:line="560" w:lineRule="exact"/>
        <w:rPr>
          <w:rFonts w:hint="eastAsia" w:ascii="仿宋" w:hAnsi="仿宋" w:eastAsia="仿宋" w:cs="仿宋"/>
          <w:b/>
          <w:color w:val="auto"/>
          <w:sz w:val="32"/>
          <w:szCs w:val="32"/>
        </w:rPr>
      </w:pPr>
      <w:r>
        <w:rPr>
          <w:rFonts w:hint="eastAsia" w:ascii="仿宋" w:hAnsi="仿宋" w:eastAsia="仿宋" w:cs="仿宋"/>
          <w:b/>
          <w:color w:val="auto"/>
          <w:sz w:val="32"/>
          <w:szCs w:val="32"/>
        </w:rPr>
        <w:t>3.</w:t>
      </w:r>
      <w:r>
        <w:rPr>
          <w:rFonts w:hint="eastAsia" w:ascii="仿宋" w:hAnsi="仿宋" w:eastAsia="仿宋" w:cs="仿宋"/>
          <w:b/>
          <w:color w:val="auto"/>
          <w:sz w:val="32"/>
          <w:szCs w:val="32"/>
          <w:lang w:val="en-US" w:eastAsia="zh-CN"/>
        </w:rPr>
        <w:t>赣榆</w:t>
      </w:r>
      <w:r>
        <w:rPr>
          <w:rFonts w:hint="eastAsia" w:ascii="仿宋" w:hAnsi="仿宋" w:eastAsia="仿宋" w:cs="仿宋"/>
          <w:b/>
          <w:color w:val="auto"/>
          <w:sz w:val="32"/>
          <w:szCs w:val="32"/>
        </w:rPr>
        <w:t>兴福村镇银行股金变动及股东情况...............2</w:t>
      </w:r>
    </w:p>
    <w:p>
      <w:pPr>
        <w:keepNext w:val="0"/>
        <w:keepLines w:val="0"/>
        <w:pageBreakBefore w:val="0"/>
        <w:kinsoku/>
        <w:wordWrap/>
        <w:overflowPunct/>
        <w:topLinePunct w:val="0"/>
        <w:autoSpaceDE/>
        <w:autoSpaceDN/>
        <w:bidi w:val="0"/>
        <w:spacing w:line="560" w:lineRule="exact"/>
        <w:rPr>
          <w:rFonts w:hint="eastAsia" w:ascii="仿宋" w:hAnsi="仿宋" w:eastAsia="仿宋" w:cs="仿宋"/>
          <w:b/>
          <w:color w:val="auto"/>
          <w:sz w:val="32"/>
          <w:szCs w:val="32"/>
        </w:rPr>
      </w:pPr>
      <w:r>
        <w:rPr>
          <w:rFonts w:hint="eastAsia" w:ascii="仿宋" w:hAnsi="仿宋" w:eastAsia="仿宋" w:cs="仿宋"/>
          <w:b/>
          <w:color w:val="auto"/>
          <w:sz w:val="32"/>
          <w:szCs w:val="32"/>
        </w:rPr>
        <w:t>4.</w:t>
      </w:r>
      <w:r>
        <w:rPr>
          <w:rFonts w:hint="eastAsia" w:ascii="仿宋" w:hAnsi="仿宋" w:eastAsia="仿宋" w:cs="仿宋"/>
          <w:b/>
          <w:color w:val="auto"/>
          <w:sz w:val="32"/>
          <w:szCs w:val="32"/>
          <w:lang w:val="en-US" w:eastAsia="zh-CN"/>
        </w:rPr>
        <w:t>赣榆</w:t>
      </w:r>
      <w:r>
        <w:rPr>
          <w:rFonts w:hint="eastAsia" w:ascii="仿宋" w:hAnsi="仿宋" w:eastAsia="仿宋" w:cs="仿宋"/>
          <w:b/>
          <w:color w:val="auto"/>
          <w:sz w:val="32"/>
          <w:szCs w:val="32"/>
        </w:rPr>
        <w:t>兴福村镇银行法人治理结构和运作情况...........3</w:t>
      </w:r>
    </w:p>
    <w:p>
      <w:pPr>
        <w:keepNext w:val="0"/>
        <w:keepLines w:val="0"/>
        <w:pageBreakBefore w:val="0"/>
        <w:kinsoku/>
        <w:wordWrap/>
        <w:overflowPunct/>
        <w:topLinePunct w:val="0"/>
        <w:autoSpaceDE/>
        <w:autoSpaceDN/>
        <w:bidi w:val="0"/>
        <w:spacing w:line="560" w:lineRule="exact"/>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rPr>
        <w:t>5.</w:t>
      </w:r>
      <w:r>
        <w:rPr>
          <w:rFonts w:hint="eastAsia" w:ascii="仿宋" w:hAnsi="仿宋" w:eastAsia="仿宋" w:cs="仿宋"/>
          <w:b/>
          <w:color w:val="auto"/>
          <w:sz w:val="32"/>
          <w:szCs w:val="32"/>
          <w:lang w:val="en-US" w:eastAsia="zh-CN"/>
        </w:rPr>
        <w:t>赣榆</w:t>
      </w:r>
      <w:r>
        <w:rPr>
          <w:rFonts w:hint="eastAsia" w:ascii="仿宋" w:hAnsi="仿宋" w:eastAsia="仿宋" w:cs="仿宋"/>
          <w:b/>
          <w:color w:val="auto"/>
          <w:sz w:val="32"/>
          <w:szCs w:val="32"/>
        </w:rPr>
        <w:t>兴福村镇银行</w:t>
      </w:r>
      <w:r>
        <w:rPr>
          <w:rFonts w:hint="eastAsia" w:ascii="仿宋" w:hAnsi="仿宋" w:eastAsia="仿宋" w:cs="仿宋"/>
          <w:b/>
          <w:color w:val="auto"/>
          <w:sz w:val="32"/>
          <w:szCs w:val="32"/>
          <w:lang w:eastAsia="zh-CN"/>
        </w:rPr>
        <w:t>202</w:t>
      </w:r>
      <w:r>
        <w:rPr>
          <w:rFonts w:hint="eastAsia" w:ascii="仿宋" w:hAnsi="仿宋" w:eastAsia="仿宋" w:cs="仿宋"/>
          <w:b/>
          <w:color w:val="auto"/>
          <w:sz w:val="32"/>
          <w:szCs w:val="32"/>
          <w:lang w:val="en-US" w:eastAsia="zh-CN"/>
        </w:rPr>
        <w:t>5</w:t>
      </w:r>
      <w:r>
        <w:rPr>
          <w:rFonts w:hint="eastAsia" w:ascii="仿宋" w:hAnsi="仿宋" w:eastAsia="仿宋" w:cs="仿宋"/>
          <w:b/>
          <w:color w:val="auto"/>
          <w:sz w:val="32"/>
          <w:szCs w:val="32"/>
        </w:rPr>
        <w:t>年度经营情况................</w:t>
      </w:r>
      <w:r>
        <w:rPr>
          <w:rFonts w:hint="eastAsia" w:ascii="仿宋" w:hAnsi="仿宋" w:eastAsia="仿宋" w:cs="仿宋"/>
          <w:b/>
          <w:color w:val="auto"/>
          <w:sz w:val="32"/>
          <w:szCs w:val="32"/>
          <w:lang w:val="en-US" w:eastAsia="zh-CN"/>
        </w:rPr>
        <w:t>7</w:t>
      </w:r>
    </w:p>
    <w:p>
      <w:pPr>
        <w:keepNext w:val="0"/>
        <w:keepLines w:val="0"/>
        <w:pageBreakBefore w:val="0"/>
        <w:kinsoku/>
        <w:wordWrap/>
        <w:overflowPunct/>
        <w:topLinePunct w:val="0"/>
        <w:autoSpaceDE/>
        <w:autoSpaceDN/>
        <w:bidi w:val="0"/>
        <w:spacing w:line="560" w:lineRule="exact"/>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rPr>
        <w:t>6.</w:t>
      </w:r>
      <w:r>
        <w:rPr>
          <w:rFonts w:hint="eastAsia" w:ascii="仿宋" w:hAnsi="仿宋" w:eastAsia="仿宋" w:cs="仿宋"/>
          <w:b/>
          <w:color w:val="auto"/>
          <w:sz w:val="32"/>
          <w:szCs w:val="32"/>
          <w:lang w:val="en-US" w:eastAsia="zh-CN"/>
        </w:rPr>
        <w:t>赣榆</w:t>
      </w:r>
      <w:r>
        <w:rPr>
          <w:rFonts w:hint="eastAsia" w:ascii="仿宋" w:hAnsi="仿宋" w:eastAsia="仿宋" w:cs="仿宋"/>
          <w:b/>
          <w:color w:val="auto"/>
          <w:sz w:val="32"/>
          <w:szCs w:val="32"/>
        </w:rPr>
        <w:t>兴福村镇银行</w:t>
      </w:r>
      <w:r>
        <w:rPr>
          <w:rFonts w:hint="eastAsia" w:ascii="仿宋" w:hAnsi="仿宋" w:eastAsia="仿宋" w:cs="仿宋"/>
          <w:b/>
          <w:color w:val="auto"/>
          <w:sz w:val="32"/>
          <w:szCs w:val="32"/>
          <w:lang w:eastAsia="zh-CN"/>
        </w:rPr>
        <w:t>202</w:t>
      </w:r>
      <w:r>
        <w:rPr>
          <w:rFonts w:hint="eastAsia" w:ascii="仿宋" w:hAnsi="仿宋" w:eastAsia="仿宋" w:cs="仿宋"/>
          <w:b/>
          <w:color w:val="auto"/>
          <w:sz w:val="32"/>
          <w:szCs w:val="32"/>
          <w:lang w:val="en-US" w:eastAsia="zh-CN"/>
        </w:rPr>
        <w:t>5</w:t>
      </w:r>
      <w:r>
        <w:rPr>
          <w:rFonts w:hint="eastAsia" w:ascii="仿宋" w:hAnsi="仿宋" w:eastAsia="仿宋" w:cs="仿宋"/>
          <w:b/>
          <w:color w:val="auto"/>
          <w:sz w:val="32"/>
          <w:szCs w:val="32"/>
        </w:rPr>
        <w:t>年度重大事项................</w:t>
      </w:r>
      <w:r>
        <w:rPr>
          <w:rFonts w:hint="eastAsia" w:ascii="仿宋" w:hAnsi="仿宋" w:eastAsia="仿宋" w:cs="仿宋"/>
          <w:b/>
          <w:color w:val="auto"/>
          <w:sz w:val="32"/>
          <w:szCs w:val="32"/>
          <w:lang w:val="en-US" w:eastAsia="zh-CN"/>
        </w:rPr>
        <w:t>7</w:t>
      </w:r>
    </w:p>
    <w:p>
      <w:pPr>
        <w:keepNext w:val="0"/>
        <w:keepLines w:val="0"/>
        <w:pageBreakBefore w:val="0"/>
        <w:kinsoku/>
        <w:wordWrap/>
        <w:overflowPunct/>
        <w:topLinePunct w:val="0"/>
        <w:autoSpaceDE/>
        <w:autoSpaceDN/>
        <w:bidi w:val="0"/>
        <w:spacing w:line="560" w:lineRule="exact"/>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rPr>
        <w:t>7.</w:t>
      </w:r>
      <w:r>
        <w:rPr>
          <w:rFonts w:hint="eastAsia" w:ascii="仿宋" w:hAnsi="仿宋" w:eastAsia="仿宋" w:cs="仿宋"/>
          <w:b/>
          <w:color w:val="auto"/>
          <w:sz w:val="32"/>
          <w:szCs w:val="32"/>
          <w:lang w:val="en-US" w:eastAsia="zh-CN"/>
        </w:rPr>
        <w:t>赣榆</w:t>
      </w:r>
      <w:r>
        <w:rPr>
          <w:rFonts w:hint="eastAsia" w:ascii="仿宋" w:hAnsi="仿宋" w:eastAsia="仿宋" w:cs="仿宋"/>
          <w:b/>
          <w:color w:val="auto"/>
          <w:sz w:val="32"/>
          <w:szCs w:val="32"/>
        </w:rPr>
        <w:t>兴福村镇银行资本充足率情况...................</w:t>
      </w:r>
      <w:r>
        <w:rPr>
          <w:rFonts w:hint="eastAsia" w:ascii="仿宋" w:hAnsi="仿宋" w:eastAsia="仿宋" w:cs="仿宋"/>
          <w:b/>
          <w:color w:val="auto"/>
          <w:sz w:val="32"/>
          <w:szCs w:val="32"/>
          <w:lang w:val="en-US" w:eastAsia="zh-CN"/>
        </w:rPr>
        <w:t>9</w:t>
      </w:r>
    </w:p>
    <w:p>
      <w:pPr>
        <w:keepNext w:val="0"/>
        <w:keepLines w:val="0"/>
        <w:pageBreakBefore w:val="0"/>
        <w:kinsoku/>
        <w:wordWrap/>
        <w:overflowPunct/>
        <w:topLinePunct w:val="0"/>
        <w:autoSpaceDE/>
        <w:autoSpaceDN/>
        <w:bidi w:val="0"/>
        <w:spacing w:line="560" w:lineRule="exact"/>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rPr>
        <w:t>8.</w:t>
      </w:r>
      <w:r>
        <w:rPr>
          <w:rFonts w:hint="eastAsia" w:ascii="仿宋" w:hAnsi="仿宋" w:eastAsia="仿宋" w:cs="仿宋"/>
          <w:b/>
          <w:color w:val="auto"/>
          <w:sz w:val="32"/>
          <w:szCs w:val="32"/>
          <w:lang w:val="en-US" w:eastAsia="zh-CN"/>
        </w:rPr>
        <w:t>赣榆</w:t>
      </w:r>
      <w:r>
        <w:rPr>
          <w:rFonts w:hint="eastAsia" w:ascii="仿宋" w:hAnsi="仿宋" w:eastAsia="仿宋" w:cs="仿宋"/>
          <w:b/>
          <w:color w:val="auto"/>
          <w:sz w:val="32"/>
          <w:szCs w:val="32"/>
        </w:rPr>
        <w:t>兴福村镇银行经营风险情况.....................</w:t>
      </w:r>
      <w:r>
        <w:rPr>
          <w:rFonts w:hint="eastAsia" w:ascii="仿宋" w:hAnsi="仿宋" w:eastAsia="仿宋" w:cs="仿宋"/>
          <w:b/>
          <w:color w:val="auto"/>
          <w:sz w:val="32"/>
          <w:szCs w:val="32"/>
          <w:lang w:val="en-US" w:eastAsia="zh-CN"/>
        </w:rPr>
        <w:t>9</w:t>
      </w:r>
    </w:p>
    <w:p>
      <w:pPr>
        <w:keepNext w:val="0"/>
        <w:keepLines w:val="0"/>
        <w:pageBreakBefore w:val="0"/>
        <w:kinsoku/>
        <w:wordWrap/>
        <w:overflowPunct/>
        <w:topLinePunct w:val="0"/>
        <w:autoSpaceDE/>
        <w:autoSpaceDN/>
        <w:bidi w:val="0"/>
        <w:spacing w:line="560" w:lineRule="exact"/>
        <w:rPr>
          <w:rFonts w:hint="default" w:ascii="仿宋" w:hAnsi="仿宋" w:eastAsia="仿宋" w:cs="仿宋"/>
          <w:b/>
          <w:bCs/>
          <w:color w:val="auto"/>
          <w:sz w:val="30"/>
          <w:szCs w:val="30"/>
          <w:lang w:val="en-US" w:eastAsia="zh-CN"/>
        </w:rPr>
      </w:pPr>
      <w:r>
        <w:rPr>
          <w:rFonts w:hint="eastAsia" w:ascii="仿宋" w:hAnsi="仿宋" w:eastAsia="仿宋" w:cs="仿宋"/>
          <w:b/>
          <w:color w:val="auto"/>
          <w:sz w:val="32"/>
          <w:szCs w:val="32"/>
        </w:rPr>
        <w:t>9.</w:t>
      </w:r>
      <w:r>
        <w:rPr>
          <w:rFonts w:hint="eastAsia" w:ascii="仿宋" w:hAnsi="仿宋" w:eastAsia="仿宋" w:cs="仿宋"/>
          <w:b/>
          <w:color w:val="auto"/>
          <w:sz w:val="32"/>
          <w:szCs w:val="32"/>
          <w:lang w:val="en-US" w:eastAsia="zh-CN"/>
        </w:rPr>
        <w:t>赣榆</w:t>
      </w:r>
      <w:r>
        <w:rPr>
          <w:rFonts w:hint="eastAsia" w:ascii="仿宋" w:hAnsi="仿宋" w:eastAsia="仿宋" w:cs="仿宋"/>
          <w:b/>
          <w:color w:val="auto"/>
          <w:sz w:val="32"/>
          <w:szCs w:val="32"/>
        </w:rPr>
        <w:t>兴福村镇银行</w:t>
      </w:r>
      <w:r>
        <w:rPr>
          <w:rFonts w:hint="eastAsia" w:ascii="仿宋" w:hAnsi="仿宋" w:eastAsia="仿宋" w:cs="仿宋"/>
          <w:b/>
          <w:bCs/>
          <w:color w:val="auto"/>
          <w:sz w:val="32"/>
          <w:szCs w:val="32"/>
        </w:rPr>
        <w:t>支农支小业务开展情况</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12</w:t>
      </w:r>
    </w:p>
    <w:p>
      <w:pPr>
        <w:keepNext w:val="0"/>
        <w:keepLines w:val="0"/>
        <w:pageBreakBefore w:val="0"/>
        <w:kinsoku/>
        <w:wordWrap/>
        <w:overflowPunct/>
        <w:topLinePunct w:val="0"/>
        <w:autoSpaceDE/>
        <w:autoSpaceDN/>
        <w:bidi w:val="0"/>
        <w:spacing w:line="560" w:lineRule="exact"/>
        <w:rPr>
          <w:rFonts w:hint="default" w:ascii="仿宋" w:hAnsi="仿宋" w:eastAsia="仿宋" w:cs="仿宋"/>
          <w:b/>
          <w:color w:val="auto"/>
          <w:sz w:val="32"/>
          <w:szCs w:val="32"/>
          <w:lang w:val="en-US" w:eastAsia="zh-CN"/>
        </w:rPr>
      </w:pPr>
      <w:r>
        <w:rPr>
          <w:rFonts w:hint="eastAsia" w:ascii="仿宋" w:hAnsi="仿宋" w:eastAsia="仿宋" w:cs="仿宋"/>
          <w:b/>
          <w:bCs/>
          <w:color w:val="auto"/>
          <w:sz w:val="30"/>
          <w:szCs w:val="30"/>
        </w:rPr>
        <w:t>10</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赣榆</w:t>
      </w:r>
      <w:r>
        <w:rPr>
          <w:rFonts w:hint="eastAsia" w:ascii="仿宋" w:hAnsi="仿宋" w:eastAsia="仿宋" w:cs="仿宋"/>
          <w:b/>
          <w:color w:val="auto"/>
          <w:sz w:val="32"/>
          <w:szCs w:val="32"/>
        </w:rPr>
        <w:t>兴福村镇银行关联交易情况....................</w:t>
      </w:r>
      <w:r>
        <w:rPr>
          <w:rFonts w:hint="eastAsia" w:ascii="仿宋" w:hAnsi="仿宋" w:eastAsia="仿宋" w:cs="仿宋"/>
          <w:b/>
          <w:color w:val="auto"/>
          <w:sz w:val="32"/>
          <w:szCs w:val="32"/>
          <w:lang w:val="en-US" w:eastAsia="zh-CN"/>
        </w:rPr>
        <w:t>12</w:t>
      </w:r>
    </w:p>
    <w:p>
      <w:pPr>
        <w:keepNext w:val="0"/>
        <w:keepLines w:val="0"/>
        <w:pageBreakBefore w:val="0"/>
        <w:kinsoku/>
        <w:wordWrap/>
        <w:overflowPunct/>
        <w:topLinePunct w:val="0"/>
        <w:autoSpaceDE/>
        <w:autoSpaceDN/>
        <w:bidi w:val="0"/>
        <w:spacing w:line="560" w:lineRule="exact"/>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rPr>
        <w:t>11.</w:t>
      </w:r>
      <w:r>
        <w:rPr>
          <w:rFonts w:hint="eastAsia" w:ascii="仿宋" w:hAnsi="仿宋" w:eastAsia="仿宋" w:cs="仿宋"/>
          <w:b/>
          <w:color w:val="auto"/>
          <w:sz w:val="32"/>
          <w:szCs w:val="32"/>
          <w:lang w:val="en-US" w:eastAsia="zh-CN"/>
        </w:rPr>
        <w:t>赣榆</w:t>
      </w:r>
      <w:r>
        <w:rPr>
          <w:rFonts w:hint="eastAsia" w:ascii="仿宋" w:hAnsi="仿宋" w:eastAsia="仿宋" w:cs="仿宋"/>
          <w:b/>
          <w:color w:val="auto"/>
          <w:sz w:val="32"/>
          <w:szCs w:val="32"/>
        </w:rPr>
        <w:t>兴福村镇银行消费者权益保护工作情况..........</w:t>
      </w:r>
      <w:r>
        <w:rPr>
          <w:rFonts w:hint="eastAsia" w:ascii="仿宋" w:hAnsi="仿宋" w:eastAsia="仿宋" w:cs="仿宋"/>
          <w:b/>
          <w:color w:val="auto"/>
          <w:sz w:val="32"/>
          <w:szCs w:val="32"/>
          <w:lang w:val="en-US" w:eastAsia="zh-CN"/>
        </w:rPr>
        <w:t>12</w:t>
      </w:r>
    </w:p>
    <w:p>
      <w:pPr>
        <w:keepNext w:val="0"/>
        <w:keepLines w:val="0"/>
        <w:pageBreakBefore w:val="0"/>
        <w:kinsoku/>
        <w:wordWrap/>
        <w:overflowPunct/>
        <w:topLinePunct w:val="0"/>
        <w:autoSpaceDE/>
        <w:autoSpaceDN/>
        <w:bidi w:val="0"/>
        <w:spacing w:line="560" w:lineRule="exact"/>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rPr>
        <w:t>12.</w:t>
      </w:r>
      <w:r>
        <w:rPr>
          <w:rFonts w:hint="eastAsia" w:ascii="仿宋" w:hAnsi="仿宋" w:eastAsia="仿宋" w:cs="仿宋"/>
          <w:b/>
          <w:color w:val="auto"/>
          <w:sz w:val="32"/>
          <w:szCs w:val="32"/>
          <w:lang w:val="en-US" w:eastAsia="zh-CN"/>
        </w:rPr>
        <w:t>赣榆</w:t>
      </w:r>
      <w:r>
        <w:rPr>
          <w:rFonts w:hint="eastAsia" w:ascii="仿宋" w:hAnsi="仿宋" w:eastAsia="仿宋" w:cs="仿宋"/>
          <w:b/>
          <w:color w:val="auto"/>
          <w:sz w:val="32"/>
          <w:szCs w:val="32"/>
        </w:rPr>
        <w:t>兴福村镇银行</w:t>
      </w:r>
      <w:r>
        <w:rPr>
          <w:rFonts w:hint="eastAsia" w:ascii="仿宋" w:hAnsi="仿宋" w:eastAsia="仿宋" w:cs="仿宋"/>
          <w:b/>
          <w:color w:val="auto"/>
          <w:sz w:val="32"/>
          <w:szCs w:val="32"/>
          <w:lang w:eastAsia="zh-CN"/>
        </w:rPr>
        <w:t>202</w:t>
      </w:r>
      <w:r>
        <w:rPr>
          <w:rFonts w:hint="eastAsia" w:ascii="仿宋" w:hAnsi="仿宋" w:eastAsia="仿宋" w:cs="仿宋"/>
          <w:b/>
          <w:color w:val="auto"/>
          <w:sz w:val="32"/>
          <w:szCs w:val="32"/>
          <w:lang w:val="en-US" w:eastAsia="zh-CN"/>
        </w:rPr>
        <w:t>5</w:t>
      </w:r>
      <w:r>
        <w:rPr>
          <w:rFonts w:hint="eastAsia" w:ascii="仿宋" w:hAnsi="仿宋" w:eastAsia="仿宋" w:cs="仿宋"/>
          <w:b/>
          <w:color w:val="auto"/>
          <w:sz w:val="32"/>
          <w:szCs w:val="32"/>
        </w:rPr>
        <w:t>年度信息披露表.............</w:t>
      </w:r>
      <w:r>
        <w:rPr>
          <w:rFonts w:hint="eastAsia" w:ascii="仿宋" w:hAnsi="仿宋" w:eastAsia="仿宋" w:cs="仿宋"/>
          <w:b/>
          <w:color w:val="auto"/>
          <w:sz w:val="32"/>
          <w:szCs w:val="32"/>
          <w:lang w:val="en-US" w:eastAsia="zh-CN"/>
        </w:rPr>
        <w:t>15</w:t>
      </w:r>
    </w:p>
    <w:p>
      <w:pPr>
        <w:keepNext w:val="0"/>
        <w:keepLines w:val="0"/>
        <w:pageBreakBefore w:val="0"/>
        <w:kinsoku/>
        <w:wordWrap/>
        <w:overflowPunct/>
        <w:topLinePunct w:val="0"/>
        <w:autoSpaceDE/>
        <w:autoSpaceDN/>
        <w:bidi w:val="0"/>
        <w:spacing w:line="560" w:lineRule="exact"/>
        <w:rPr>
          <w:rFonts w:hint="eastAsia" w:ascii="仿宋" w:hAnsi="仿宋" w:eastAsia="仿宋" w:cs="仿宋"/>
          <w:b/>
          <w:color w:val="auto"/>
          <w:sz w:val="32"/>
          <w:szCs w:val="32"/>
        </w:rPr>
      </w:pPr>
    </w:p>
    <w:p>
      <w:pPr>
        <w:keepNext w:val="0"/>
        <w:keepLines w:val="0"/>
        <w:pageBreakBefore w:val="0"/>
        <w:kinsoku/>
        <w:wordWrap/>
        <w:overflowPunct/>
        <w:topLinePunct w:val="0"/>
        <w:autoSpaceDE/>
        <w:autoSpaceDN/>
        <w:bidi w:val="0"/>
        <w:spacing w:line="560" w:lineRule="exact"/>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pacing w:line="560" w:lineRule="exact"/>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pacing w:line="560" w:lineRule="exact"/>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pacing w:line="560" w:lineRule="exact"/>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pacing w:line="560" w:lineRule="exact"/>
        <w:rPr>
          <w:rFonts w:hint="eastAsia" w:ascii="仿宋_GB2312" w:hAnsi="宋体" w:eastAsia="仿宋_GB2312"/>
          <w:color w:val="auto"/>
          <w:sz w:val="32"/>
          <w:szCs w:val="32"/>
        </w:rPr>
      </w:pPr>
    </w:p>
    <w:p>
      <w:pPr>
        <w:keepNext w:val="0"/>
        <w:keepLines w:val="0"/>
        <w:pageBreakBefore w:val="0"/>
        <w:kinsoku/>
        <w:wordWrap/>
        <w:overflowPunct/>
        <w:topLinePunct w:val="0"/>
        <w:autoSpaceDE/>
        <w:autoSpaceDN/>
        <w:bidi w:val="0"/>
        <w:spacing w:line="560" w:lineRule="exact"/>
        <w:rPr>
          <w:rFonts w:hint="eastAsia" w:ascii="仿宋_GB2312" w:hAnsi="宋体" w:eastAsia="仿宋_GB2312"/>
          <w:color w:val="auto"/>
          <w:sz w:val="32"/>
          <w:szCs w:val="32"/>
        </w:rPr>
        <w:sectPr>
          <w:footerReference r:id="rId6" w:type="default"/>
          <w:pgSz w:w="11906" w:h="16838"/>
          <w:pgMar w:top="2098" w:right="1304" w:bottom="1985" w:left="1304" w:header="0" w:footer="1588" w:gutter="0"/>
          <w:pgNumType w:fmt="decimalFullWidth" w:start="1"/>
          <w:cols w:space="720" w:num="1"/>
          <w:docGrid w:type="lines" w:linePitch="312" w:charSpace="0"/>
        </w:sectPr>
      </w:pPr>
    </w:p>
    <w:p>
      <w:pPr>
        <w:keepNext w:val="0"/>
        <w:keepLines w:val="0"/>
        <w:pageBreakBefore w:val="0"/>
        <w:kinsoku/>
        <w:wordWrap/>
        <w:overflowPunct/>
        <w:topLinePunct w:val="0"/>
        <w:autoSpaceDE/>
        <w:autoSpaceDN/>
        <w:bidi w:val="0"/>
        <w:spacing w:line="560" w:lineRule="exac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lang w:val="en-US" w:eastAsia="zh-CN"/>
        </w:rPr>
        <w:t>江苏赣榆</w:t>
      </w:r>
      <w:r>
        <w:rPr>
          <w:rFonts w:hint="eastAsia" w:ascii="黑体" w:hAnsi="黑体" w:eastAsia="黑体" w:cs="黑体"/>
          <w:b/>
          <w:bCs/>
          <w:color w:val="auto"/>
          <w:sz w:val="36"/>
          <w:szCs w:val="36"/>
        </w:rPr>
        <w:t>兴福村镇银行</w:t>
      </w:r>
      <w:r>
        <w:rPr>
          <w:rFonts w:hint="eastAsia" w:ascii="黑体" w:hAnsi="黑体" w:eastAsia="黑体" w:cs="黑体"/>
          <w:b/>
          <w:bCs/>
          <w:color w:val="auto"/>
          <w:sz w:val="36"/>
          <w:szCs w:val="36"/>
          <w:lang w:val="en-US" w:eastAsia="zh-CN"/>
        </w:rPr>
        <w:t>股份</w:t>
      </w:r>
      <w:r>
        <w:rPr>
          <w:rFonts w:hint="eastAsia" w:ascii="黑体" w:hAnsi="黑体" w:eastAsia="黑体" w:cs="黑体"/>
          <w:b/>
          <w:bCs/>
          <w:color w:val="auto"/>
          <w:sz w:val="36"/>
          <w:szCs w:val="36"/>
        </w:rPr>
        <w:t>有限公司</w:t>
      </w:r>
    </w:p>
    <w:p>
      <w:pPr>
        <w:keepNext w:val="0"/>
        <w:keepLines w:val="0"/>
        <w:pageBreakBefore w:val="0"/>
        <w:kinsoku/>
        <w:wordWrap/>
        <w:overflowPunct/>
        <w:topLinePunct w:val="0"/>
        <w:autoSpaceDE/>
        <w:autoSpaceDN/>
        <w:bidi w:val="0"/>
        <w:spacing w:line="560" w:lineRule="exact"/>
        <w:jc w:val="center"/>
        <w:rPr>
          <w:rFonts w:hint="eastAsia" w:ascii="宋体" w:hAnsi="宋体"/>
          <w:b/>
          <w:bCs/>
          <w:color w:val="auto"/>
          <w:sz w:val="44"/>
          <w:szCs w:val="44"/>
        </w:rPr>
      </w:pPr>
      <w:r>
        <w:rPr>
          <w:rFonts w:hint="eastAsia" w:ascii="黑体" w:hAnsi="黑体" w:eastAsia="黑体" w:cs="黑体"/>
          <w:b/>
          <w:bCs/>
          <w:color w:val="auto"/>
          <w:sz w:val="36"/>
          <w:szCs w:val="36"/>
          <w:lang w:eastAsia="zh-CN"/>
        </w:rPr>
        <w:t>202</w:t>
      </w:r>
      <w:r>
        <w:rPr>
          <w:rFonts w:hint="eastAsia" w:ascii="黑体" w:hAnsi="黑体" w:eastAsia="黑体" w:cs="黑体"/>
          <w:b/>
          <w:bCs/>
          <w:color w:val="auto"/>
          <w:sz w:val="36"/>
          <w:szCs w:val="36"/>
          <w:lang w:val="en-US" w:eastAsia="zh-CN"/>
        </w:rPr>
        <w:t>5</w:t>
      </w:r>
      <w:r>
        <w:rPr>
          <w:rFonts w:hint="eastAsia" w:ascii="黑体" w:hAnsi="黑体" w:eastAsia="黑体" w:cs="黑体"/>
          <w:b/>
          <w:bCs/>
          <w:color w:val="auto"/>
          <w:sz w:val="36"/>
          <w:szCs w:val="36"/>
        </w:rPr>
        <w:t>年度信息披露报告</w:t>
      </w:r>
    </w:p>
    <w:p>
      <w:pPr>
        <w:keepNext w:val="0"/>
        <w:keepLines w:val="0"/>
        <w:pageBreakBefore w:val="0"/>
        <w:kinsoku/>
        <w:wordWrap/>
        <w:overflowPunct/>
        <w:topLinePunct w:val="0"/>
        <w:autoSpaceDE/>
        <w:autoSpaceDN/>
        <w:bidi w:val="0"/>
        <w:spacing w:line="560" w:lineRule="exact"/>
        <w:ind w:firstLine="602" w:firstLineChars="200"/>
        <w:rPr>
          <w:rFonts w:hint="eastAsia" w:ascii="宋体" w:hAnsi="宋体" w:cs="宋体"/>
          <w:b/>
          <w:color w:val="auto"/>
          <w:sz w:val="30"/>
          <w:szCs w:val="30"/>
        </w:rPr>
      </w:pPr>
      <w:r>
        <w:rPr>
          <w:rFonts w:hint="eastAsia" w:ascii="宋体" w:hAnsi="宋体" w:cs="宋体"/>
          <w:b/>
          <w:color w:val="auto"/>
          <w:sz w:val="30"/>
          <w:szCs w:val="30"/>
        </w:rPr>
        <w:t>一、重要提示</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江苏赣榆</w:t>
      </w:r>
      <w:r>
        <w:rPr>
          <w:rFonts w:hint="eastAsia" w:ascii="仿宋" w:hAnsi="仿宋" w:eastAsia="仿宋" w:cs="仿宋"/>
          <w:color w:val="auto"/>
          <w:sz w:val="30"/>
          <w:szCs w:val="30"/>
        </w:rPr>
        <w:t>兴福村镇银行</w:t>
      </w:r>
      <w:r>
        <w:rPr>
          <w:rFonts w:hint="eastAsia" w:ascii="仿宋" w:hAnsi="仿宋" w:eastAsia="仿宋" w:cs="仿宋"/>
          <w:color w:val="auto"/>
          <w:sz w:val="30"/>
          <w:szCs w:val="30"/>
          <w:lang w:val="en-US" w:eastAsia="zh-CN"/>
        </w:rPr>
        <w:t>股份</w:t>
      </w:r>
      <w:r>
        <w:rPr>
          <w:rFonts w:hint="eastAsia" w:ascii="仿宋" w:hAnsi="仿宋" w:eastAsia="仿宋" w:cs="仿宋"/>
          <w:color w:val="auto"/>
          <w:sz w:val="30"/>
          <w:szCs w:val="30"/>
        </w:rPr>
        <w:t>有限公司（以下简称“</w:t>
      </w:r>
      <w:r>
        <w:rPr>
          <w:rFonts w:hint="eastAsia" w:ascii="仿宋" w:hAnsi="仿宋" w:eastAsia="仿宋" w:cs="仿宋"/>
          <w:color w:val="auto"/>
          <w:sz w:val="30"/>
          <w:szCs w:val="30"/>
          <w:lang w:val="en-US" w:eastAsia="zh-CN"/>
        </w:rPr>
        <w:t>赣榆</w:t>
      </w:r>
      <w:r>
        <w:rPr>
          <w:rFonts w:hint="eastAsia" w:ascii="仿宋" w:hAnsi="仿宋" w:eastAsia="仿宋" w:cs="仿宋"/>
          <w:color w:val="auto"/>
          <w:sz w:val="30"/>
          <w:szCs w:val="30"/>
        </w:rPr>
        <w:t>兴福村镇银行”）保证本报告所载资料不存在任何虚假记载、误导性陈述或者重大遗漏，并对其内容的真实性、准确性、完整性、可比性负个别及连带责任。</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赣榆</w:t>
      </w:r>
      <w:r>
        <w:rPr>
          <w:rFonts w:hint="eastAsia" w:ascii="仿宋" w:hAnsi="仿宋" w:eastAsia="仿宋" w:cs="仿宋"/>
          <w:color w:val="auto"/>
          <w:sz w:val="30"/>
          <w:szCs w:val="30"/>
        </w:rPr>
        <w:t>兴福村镇银行</w:t>
      </w: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年度经营情况已经由德勤华永会计师事务所</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特殊普通合伙</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审计，并且出具了标准无保留意见的审计报告。</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赣榆</w:t>
      </w:r>
      <w:r>
        <w:rPr>
          <w:rFonts w:hint="eastAsia" w:ascii="仿宋" w:hAnsi="仿宋" w:eastAsia="仿宋" w:cs="仿宋"/>
          <w:color w:val="auto"/>
          <w:sz w:val="30"/>
          <w:szCs w:val="30"/>
        </w:rPr>
        <w:t>兴福村镇银行董事长、财务负责人保证</w:t>
      </w: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年度报告中财务信息的真实、完整。</w:t>
      </w:r>
    </w:p>
    <w:p>
      <w:pPr>
        <w:keepNext w:val="0"/>
        <w:keepLines w:val="0"/>
        <w:pageBreakBefore w:val="0"/>
        <w:numPr>
          <w:ilvl w:val="0"/>
          <w:numId w:val="1"/>
        </w:numPr>
        <w:kinsoku/>
        <w:wordWrap/>
        <w:overflowPunct/>
        <w:topLinePunct w:val="0"/>
        <w:autoSpaceDE/>
        <w:autoSpaceDN/>
        <w:bidi w:val="0"/>
        <w:spacing w:line="560" w:lineRule="exact"/>
        <w:ind w:firstLine="602" w:firstLineChars="200"/>
        <w:rPr>
          <w:rFonts w:hint="eastAsia" w:ascii="宋体" w:hAnsi="宋体" w:cs="宋体"/>
          <w:b/>
          <w:color w:val="auto"/>
          <w:sz w:val="30"/>
          <w:szCs w:val="30"/>
        </w:rPr>
      </w:pPr>
      <w:r>
        <w:rPr>
          <w:rFonts w:hint="eastAsia" w:ascii="宋体" w:hAnsi="宋体" w:cs="宋体"/>
          <w:b/>
          <w:color w:val="auto"/>
          <w:sz w:val="30"/>
          <w:szCs w:val="30"/>
          <w:lang w:val="en-US" w:eastAsia="zh-CN"/>
        </w:rPr>
        <w:t>赣榆</w:t>
      </w:r>
      <w:r>
        <w:rPr>
          <w:rFonts w:hint="eastAsia" w:ascii="宋体" w:hAnsi="宋体" w:cs="宋体"/>
          <w:b/>
          <w:color w:val="auto"/>
          <w:sz w:val="30"/>
          <w:szCs w:val="30"/>
        </w:rPr>
        <w:t>兴福村镇银行基本情况简介</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（一）法定名称：</w:t>
      </w:r>
    </w:p>
    <w:p>
      <w:pPr>
        <w:keepNext w:val="0"/>
        <w:keepLines w:val="0"/>
        <w:pageBreakBefore w:val="0"/>
        <w:widowControl/>
        <w:kinsoku/>
        <w:wordWrap/>
        <w:overflowPunct/>
        <w:topLinePunct w:val="0"/>
        <w:autoSpaceDE/>
        <w:autoSpaceDN/>
        <w:bidi w:val="0"/>
        <w:spacing w:line="56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法定中文名称：</w:t>
      </w:r>
      <w:r>
        <w:rPr>
          <w:rFonts w:hint="eastAsia" w:ascii="仿宋" w:hAnsi="仿宋" w:eastAsia="仿宋" w:cs="仿宋"/>
          <w:color w:val="auto"/>
          <w:sz w:val="30"/>
          <w:szCs w:val="30"/>
          <w:lang w:val="en-US" w:eastAsia="zh-CN"/>
        </w:rPr>
        <w:t>江苏赣榆</w:t>
      </w:r>
      <w:r>
        <w:rPr>
          <w:rFonts w:hint="eastAsia" w:ascii="仿宋" w:hAnsi="仿宋" w:eastAsia="仿宋" w:cs="仿宋"/>
          <w:color w:val="auto"/>
          <w:sz w:val="30"/>
          <w:szCs w:val="30"/>
        </w:rPr>
        <w:t>兴福村镇银行股份有限公司</w:t>
      </w:r>
    </w:p>
    <w:p>
      <w:pPr>
        <w:keepNext w:val="0"/>
        <w:keepLines w:val="0"/>
        <w:pageBreakBefore w:val="0"/>
        <w:widowControl/>
        <w:kinsoku/>
        <w:wordWrap/>
        <w:overflowPunct/>
        <w:topLinePunct w:val="0"/>
        <w:autoSpaceDE/>
        <w:autoSpaceDN/>
        <w:bidi w:val="0"/>
        <w:spacing w:line="56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（简称）：</w:t>
      </w:r>
      <w:r>
        <w:rPr>
          <w:rFonts w:hint="eastAsia" w:ascii="仿宋" w:hAnsi="仿宋" w:eastAsia="仿宋" w:cs="仿宋"/>
          <w:color w:val="auto"/>
          <w:sz w:val="30"/>
          <w:szCs w:val="30"/>
          <w:lang w:val="en-US" w:eastAsia="zh-CN"/>
        </w:rPr>
        <w:t>赣榆</w:t>
      </w:r>
      <w:r>
        <w:rPr>
          <w:rFonts w:hint="eastAsia" w:ascii="仿宋" w:hAnsi="仿宋" w:eastAsia="仿宋" w:cs="仿宋"/>
          <w:color w:val="auto"/>
          <w:sz w:val="30"/>
          <w:szCs w:val="30"/>
        </w:rPr>
        <w:t>兴福村镇银行</w:t>
      </w:r>
    </w:p>
    <w:p>
      <w:pPr>
        <w:keepNext w:val="0"/>
        <w:keepLines w:val="0"/>
        <w:pageBreakBefore w:val="0"/>
        <w:widowControl/>
        <w:kinsoku/>
        <w:wordWrap/>
        <w:overflowPunct/>
        <w:topLinePunct w:val="0"/>
        <w:autoSpaceDE/>
        <w:autoSpaceDN/>
        <w:bidi w:val="0"/>
        <w:spacing w:line="56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法定英文名称</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JIANGSU</w:t>
      </w:r>
      <w:r>
        <w:rPr>
          <w:rFonts w:hint="eastAsia" w:ascii="仿宋" w:hAnsi="仿宋" w:eastAsia="仿宋" w:cs="仿宋"/>
          <w:color w:val="auto"/>
          <w:sz w:val="30"/>
          <w:szCs w:val="30"/>
        </w:rPr>
        <w:t xml:space="preserve"> </w:t>
      </w:r>
      <w:r>
        <w:rPr>
          <w:rFonts w:hint="eastAsia" w:ascii="仿宋" w:hAnsi="仿宋" w:eastAsia="仿宋" w:cs="仿宋"/>
          <w:color w:val="auto"/>
          <w:sz w:val="30"/>
          <w:szCs w:val="30"/>
          <w:lang w:val="en-US" w:eastAsia="zh-CN"/>
        </w:rPr>
        <w:t>GANYU XINGFU COUNTRY BANK</w:t>
      </w:r>
      <w:r>
        <w:rPr>
          <w:rFonts w:hint="eastAsia" w:ascii="仿宋" w:hAnsi="仿宋" w:eastAsia="仿宋" w:cs="仿宋"/>
          <w:color w:val="auto"/>
          <w:sz w:val="30"/>
          <w:szCs w:val="30"/>
        </w:rPr>
        <w:t xml:space="preserve"> Co.,Ltd</w:t>
      </w:r>
    </w:p>
    <w:p>
      <w:pPr>
        <w:keepNext w:val="0"/>
        <w:keepLines w:val="0"/>
        <w:pageBreakBefore w:val="0"/>
        <w:widowControl/>
        <w:kinsoku/>
        <w:wordWrap/>
        <w:overflowPunct/>
        <w:topLinePunct w:val="0"/>
        <w:autoSpaceDE/>
        <w:autoSpaceDN/>
        <w:bidi w:val="0"/>
        <w:spacing w:line="560" w:lineRule="exact"/>
        <w:ind w:firstLine="600" w:firstLineChars="200"/>
        <w:jc w:val="left"/>
        <w:outlineLvl w:val="0"/>
        <w:rPr>
          <w:rFonts w:hint="eastAsia" w:ascii="仿宋" w:hAnsi="仿宋" w:eastAsia="仿宋" w:cs="仿宋"/>
          <w:color w:val="auto"/>
          <w:sz w:val="30"/>
          <w:szCs w:val="30"/>
        </w:rPr>
      </w:pPr>
      <w:r>
        <w:rPr>
          <w:rFonts w:hint="eastAsia" w:ascii="仿宋" w:hAnsi="仿宋" w:eastAsia="仿宋" w:cs="仿宋"/>
          <w:color w:val="auto"/>
          <w:sz w:val="30"/>
          <w:szCs w:val="30"/>
        </w:rPr>
        <w:t>（二）注册资本：</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,000</w:t>
      </w:r>
      <w:r>
        <w:rPr>
          <w:rFonts w:hint="eastAsia" w:ascii="仿宋" w:hAnsi="仿宋" w:eastAsia="仿宋" w:cs="仿宋"/>
          <w:color w:val="auto"/>
          <w:sz w:val="30"/>
          <w:szCs w:val="30"/>
        </w:rPr>
        <w:t>万元</w:t>
      </w:r>
    </w:p>
    <w:p>
      <w:pPr>
        <w:keepNext w:val="0"/>
        <w:keepLines w:val="0"/>
        <w:pageBreakBefore w:val="0"/>
        <w:widowControl/>
        <w:kinsoku/>
        <w:wordWrap/>
        <w:overflowPunct/>
        <w:topLinePunct w:val="0"/>
        <w:autoSpaceDE/>
        <w:autoSpaceDN/>
        <w:bidi w:val="0"/>
        <w:spacing w:line="560" w:lineRule="exact"/>
        <w:ind w:firstLine="600" w:firstLineChars="200"/>
        <w:jc w:val="left"/>
        <w:outlineLvl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（三）法定代表人：</w:t>
      </w:r>
      <w:r>
        <w:rPr>
          <w:rFonts w:hint="eastAsia" w:ascii="仿宋" w:hAnsi="仿宋" w:eastAsia="仿宋" w:cs="仿宋"/>
          <w:color w:val="auto"/>
          <w:sz w:val="30"/>
          <w:szCs w:val="30"/>
          <w:lang w:val="en-US" w:eastAsia="zh-CN"/>
        </w:rPr>
        <w:t>黄亚锋</w:t>
      </w:r>
    </w:p>
    <w:p>
      <w:pPr>
        <w:keepNext w:val="0"/>
        <w:keepLines w:val="0"/>
        <w:pageBreakBefore w:val="0"/>
        <w:widowControl/>
        <w:kinsoku/>
        <w:wordWrap/>
        <w:overflowPunct/>
        <w:topLinePunct w:val="0"/>
        <w:autoSpaceDE/>
        <w:autoSpaceDN/>
        <w:bidi w:val="0"/>
        <w:spacing w:line="56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（四）</w:t>
      </w:r>
      <w:r>
        <w:rPr>
          <w:rFonts w:hint="eastAsia" w:ascii="仿宋" w:hAnsi="仿宋" w:eastAsia="仿宋" w:cs="仿宋"/>
          <w:color w:val="auto"/>
          <w:sz w:val="30"/>
          <w:szCs w:val="30"/>
          <w:lang w:eastAsia="zh-CN"/>
        </w:rPr>
        <w:t>本行住所：</w:t>
      </w:r>
      <w:r>
        <w:rPr>
          <w:rFonts w:hint="eastAsia" w:ascii="仿宋" w:hAnsi="仿宋" w:eastAsia="仿宋" w:cs="仿宋"/>
          <w:sz w:val="30"/>
          <w:szCs w:val="30"/>
        </w:rPr>
        <w:t>江苏省赣榆区青口镇文化路5-5号</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（五）经营范围：</w:t>
      </w:r>
      <w:r>
        <w:rPr>
          <w:rFonts w:hint="eastAsia" w:ascii="仿宋" w:hAnsi="仿宋" w:eastAsia="仿宋" w:cs="仿宋"/>
          <w:sz w:val="30"/>
          <w:szCs w:val="30"/>
        </w:rPr>
        <w:t>吸收公众存款；发放短期、中期和长期贷款；办理国内结算；办理票据承兑与贴现；从事同业拆借；从事借记卡业务；代理发行、代理兑付、承销政府债券；代理收付款项及代理保险业务；经银行业监督管理机构批准的其他业务。（依法须经批准的项目，经相关部门批准后方可开展经营活动）</w:t>
      </w:r>
    </w:p>
    <w:p>
      <w:pPr>
        <w:keepNext w:val="0"/>
        <w:keepLines w:val="0"/>
        <w:pageBreakBefore w:val="0"/>
        <w:widowControl/>
        <w:kinsoku/>
        <w:wordWrap/>
        <w:overflowPunct/>
        <w:topLinePunct w:val="0"/>
        <w:autoSpaceDE/>
        <w:autoSpaceDN/>
        <w:bidi w:val="0"/>
        <w:spacing w:line="56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（六）部门及人员设置：</w:t>
      </w:r>
      <w:r>
        <w:rPr>
          <w:rFonts w:hint="eastAsia" w:ascii="仿宋" w:hAnsi="仿宋" w:eastAsia="仿宋" w:cs="仿宋"/>
          <w:sz w:val="30"/>
          <w:szCs w:val="30"/>
        </w:rPr>
        <w:t>内设</w:t>
      </w:r>
      <w:r>
        <w:rPr>
          <w:rFonts w:hint="eastAsia" w:ascii="仿宋" w:hAnsi="仿宋" w:eastAsia="仿宋" w:cs="仿宋"/>
          <w:sz w:val="30"/>
          <w:szCs w:val="30"/>
          <w:lang w:val="en-US" w:eastAsia="zh-CN"/>
        </w:rPr>
        <w:t>普惠金融</w:t>
      </w:r>
      <w:r>
        <w:rPr>
          <w:rFonts w:hint="eastAsia" w:ascii="仿宋" w:hAnsi="仿宋" w:eastAsia="仿宋" w:cs="仿宋"/>
          <w:sz w:val="30"/>
          <w:szCs w:val="30"/>
        </w:rPr>
        <w:t>部、风险合规部、综合管理部、</w:t>
      </w:r>
      <w:r>
        <w:rPr>
          <w:rFonts w:hint="eastAsia" w:ascii="仿宋" w:hAnsi="仿宋" w:eastAsia="仿宋" w:cs="仿宋"/>
          <w:sz w:val="30"/>
          <w:szCs w:val="30"/>
          <w:lang w:val="en-US" w:eastAsia="zh-CN"/>
        </w:rPr>
        <w:t>营业</w:t>
      </w:r>
      <w:r>
        <w:rPr>
          <w:rFonts w:hint="eastAsia" w:ascii="仿宋" w:hAnsi="仿宋" w:eastAsia="仿宋" w:cs="仿宋"/>
          <w:sz w:val="30"/>
          <w:szCs w:val="30"/>
        </w:rPr>
        <w:t>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财务运营部5</w:t>
      </w:r>
      <w:r>
        <w:rPr>
          <w:rFonts w:hint="eastAsia" w:ascii="仿宋" w:hAnsi="仿宋" w:eastAsia="仿宋" w:cs="仿宋"/>
          <w:sz w:val="30"/>
          <w:szCs w:val="30"/>
        </w:rPr>
        <w:t>个职能部门。</w:t>
      </w:r>
    </w:p>
    <w:p>
      <w:pPr>
        <w:keepNext w:val="0"/>
        <w:keepLines w:val="0"/>
        <w:pageBreakBefore w:val="0"/>
        <w:widowControl/>
        <w:kinsoku/>
        <w:wordWrap/>
        <w:overflowPunct/>
        <w:topLinePunct w:val="0"/>
        <w:autoSpaceDE/>
        <w:autoSpaceDN/>
        <w:bidi w:val="0"/>
        <w:spacing w:line="560" w:lineRule="exact"/>
        <w:ind w:firstLine="600" w:firstLineChars="200"/>
        <w:jc w:val="left"/>
        <w:outlineLvl w:val="0"/>
        <w:rPr>
          <w:rFonts w:hint="eastAsia" w:ascii="仿宋" w:hAnsi="仿宋" w:eastAsia="仿宋" w:cs="仿宋"/>
          <w:color w:val="auto"/>
          <w:sz w:val="30"/>
          <w:szCs w:val="30"/>
        </w:rPr>
      </w:pPr>
      <w:r>
        <w:rPr>
          <w:rFonts w:hint="eastAsia" w:ascii="仿宋" w:hAnsi="仿宋" w:eastAsia="仿宋" w:cs="仿宋"/>
          <w:color w:val="auto"/>
          <w:sz w:val="30"/>
          <w:szCs w:val="30"/>
        </w:rPr>
        <w:t>（七）其他有关信息：</w:t>
      </w:r>
    </w:p>
    <w:p>
      <w:pPr>
        <w:pStyle w:val="3"/>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成立日期：本行于201</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年9月</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日正式开业。</w:t>
      </w:r>
    </w:p>
    <w:p>
      <w:pPr>
        <w:keepNext w:val="0"/>
        <w:keepLines w:val="0"/>
        <w:pageBreakBefore w:val="0"/>
        <w:widowControl/>
        <w:kinsoku/>
        <w:wordWrap/>
        <w:overflowPunct/>
        <w:topLinePunct w:val="0"/>
        <w:autoSpaceDE/>
        <w:autoSpaceDN/>
        <w:bidi w:val="0"/>
        <w:spacing w:line="560" w:lineRule="exact"/>
        <w:ind w:firstLine="660" w:firstLineChars="220"/>
        <w:jc w:val="left"/>
        <w:rPr>
          <w:rFonts w:ascii="仿宋" w:hAnsi="仿宋" w:eastAsia="仿宋" w:cs="仿宋"/>
          <w:color w:val="auto"/>
          <w:sz w:val="30"/>
          <w:szCs w:val="30"/>
        </w:rPr>
      </w:pPr>
      <w:r>
        <w:rPr>
          <w:rFonts w:hint="eastAsia" w:ascii="仿宋" w:hAnsi="仿宋" w:eastAsia="仿宋" w:cs="仿宋"/>
          <w:color w:val="auto"/>
          <w:sz w:val="30"/>
          <w:szCs w:val="30"/>
        </w:rPr>
        <w:t>注册登记机关：</w:t>
      </w:r>
      <w:r>
        <w:rPr>
          <w:rFonts w:hint="eastAsia" w:ascii="仿宋" w:hAnsi="仿宋" w:eastAsia="仿宋" w:cs="仿宋"/>
          <w:sz w:val="30"/>
          <w:szCs w:val="30"/>
          <w:lang w:val="en-US" w:eastAsia="zh-CN"/>
        </w:rPr>
        <w:t>连云港市市</w:t>
      </w:r>
      <w:r>
        <w:rPr>
          <w:rFonts w:hint="eastAsia" w:ascii="仿宋" w:hAnsi="仿宋" w:eastAsia="仿宋" w:cs="仿宋"/>
          <w:sz w:val="30"/>
          <w:szCs w:val="30"/>
        </w:rPr>
        <w:t>场监督管理局</w:t>
      </w:r>
    </w:p>
    <w:p>
      <w:pPr>
        <w:keepNext w:val="0"/>
        <w:keepLines w:val="0"/>
        <w:pageBreakBefore w:val="0"/>
        <w:kinsoku/>
        <w:wordWrap/>
        <w:overflowPunct/>
        <w:topLinePunct w:val="0"/>
        <w:autoSpaceDE/>
        <w:autoSpaceDN/>
        <w:bidi w:val="0"/>
        <w:spacing w:line="560" w:lineRule="exact"/>
        <w:ind w:firstLine="602" w:firstLineChars="200"/>
        <w:rPr>
          <w:rFonts w:hint="eastAsia" w:ascii="宋体" w:hAnsi="宋体" w:cs="宋体"/>
          <w:b/>
          <w:color w:val="auto"/>
          <w:sz w:val="30"/>
          <w:szCs w:val="30"/>
        </w:rPr>
      </w:pPr>
      <w:r>
        <w:rPr>
          <w:rFonts w:hint="eastAsia" w:ascii="宋体" w:hAnsi="宋体" w:cs="宋体"/>
          <w:b/>
          <w:color w:val="auto"/>
          <w:sz w:val="30"/>
          <w:szCs w:val="30"/>
        </w:rPr>
        <w:t>三、</w:t>
      </w:r>
      <w:r>
        <w:rPr>
          <w:rFonts w:hint="eastAsia" w:ascii="宋体" w:hAnsi="宋体" w:cs="宋体"/>
          <w:b/>
          <w:color w:val="auto"/>
          <w:sz w:val="30"/>
          <w:szCs w:val="30"/>
          <w:lang w:val="en-US" w:eastAsia="zh-CN"/>
        </w:rPr>
        <w:t>赣榆</w:t>
      </w:r>
      <w:r>
        <w:rPr>
          <w:rFonts w:hint="eastAsia" w:ascii="宋体" w:hAnsi="宋体" w:cs="宋体"/>
          <w:b/>
          <w:color w:val="auto"/>
          <w:sz w:val="30"/>
          <w:szCs w:val="30"/>
        </w:rPr>
        <w:t>兴福村镇银行股金变动及股东情况</w:t>
      </w:r>
    </w:p>
    <w:p>
      <w:pPr>
        <w:keepNext w:val="0"/>
        <w:keepLines w:val="0"/>
        <w:pageBreakBefore w:val="0"/>
        <w:tabs>
          <w:tab w:val="left" w:pos="7020"/>
        </w:tabs>
        <w:kinsoku/>
        <w:wordWrap/>
        <w:overflowPunct/>
        <w:topLinePunct w:val="0"/>
        <w:autoSpaceDE/>
        <w:autoSpaceDN/>
        <w:bidi w:val="0"/>
        <w:spacing w:line="560" w:lineRule="exact"/>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（一）股金及其变动情况</w:t>
      </w:r>
    </w:p>
    <w:tbl>
      <w:tblPr>
        <w:tblStyle w:val="8"/>
        <w:tblW w:w="0" w:type="auto"/>
        <w:jc w:val="center"/>
        <w:tblLayout w:type="fixed"/>
        <w:tblCellMar>
          <w:top w:w="0" w:type="dxa"/>
          <w:left w:w="108" w:type="dxa"/>
          <w:bottom w:w="0" w:type="dxa"/>
          <w:right w:w="108" w:type="dxa"/>
        </w:tblCellMar>
      </w:tblPr>
      <w:tblGrid>
        <w:gridCol w:w="1286"/>
        <w:gridCol w:w="915"/>
        <w:gridCol w:w="900"/>
        <w:gridCol w:w="915"/>
        <w:gridCol w:w="948"/>
        <w:gridCol w:w="852"/>
        <w:gridCol w:w="948"/>
        <w:gridCol w:w="885"/>
        <w:gridCol w:w="945"/>
        <w:gridCol w:w="987"/>
      </w:tblGrid>
      <w:tr>
        <w:tblPrEx>
          <w:tblCellMar>
            <w:top w:w="0" w:type="dxa"/>
            <w:left w:w="108" w:type="dxa"/>
            <w:bottom w:w="0" w:type="dxa"/>
            <w:right w:w="108" w:type="dxa"/>
          </w:tblCellMar>
        </w:tblPrEx>
        <w:trPr>
          <w:trHeight w:val="555" w:hRule="atLeast"/>
          <w:jc w:val="center"/>
        </w:trPr>
        <w:tc>
          <w:tcPr>
            <w:tcW w:w="9581" w:type="dxa"/>
            <w:gridSpan w:val="10"/>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bCs/>
                <w:color w:val="auto"/>
                <w:kern w:val="0"/>
                <w:sz w:val="24"/>
              </w:rPr>
            </w:pPr>
            <w:r>
              <w:rPr>
                <w:rFonts w:hint="eastAsia" w:ascii="仿宋" w:hAnsi="仿宋" w:eastAsia="仿宋" w:cs="仿宋"/>
                <w:b/>
                <w:bCs/>
                <w:color w:val="auto"/>
                <w:sz w:val="28"/>
                <w:szCs w:val="28"/>
                <w:lang w:val="en-US" w:eastAsia="zh-CN"/>
              </w:rPr>
              <w:t>赣榆</w:t>
            </w:r>
            <w:r>
              <w:rPr>
                <w:rFonts w:hint="eastAsia" w:ascii="仿宋" w:hAnsi="仿宋" w:eastAsia="仿宋" w:cs="仿宋"/>
                <w:b/>
                <w:bCs/>
                <w:color w:val="auto"/>
                <w:sz w:val="28"/>
                <w:szCs w:val="28"/>
              </w:rPr>
              <w:t>兴福村镇银行</w:t>
            </w:r>
            <w:r>
              <w:rPr>
                <w:rFonts w:hint="eastAsia" w:ascii="仿宋" w:hAnsi="仿宋" w:eastAsia="仿宋" w:cs="仿宋"/>
                <w:b/>
                <w:bCs/>
                <w:color w:val="auto"/>
                <w:kern w:val="0"/>
                <w:sz w:val="28"/>
                <w:szCs w:val="28"/>
              </w:rPr>
              <w:t>股金变动情况表</w:t>
            </w:r>
          </w:p>
        </w:tc>
      </w:tr>
      <w:tr>
        <w:tblPrEx>
          <w:tblCellMar>
            <w:top w:w="0" w:type="dxa"/>
            <w:left w:w="108" w:type="dxa"/>
            <w:bottom w:w="0" w:type="dxa"/>
            <w:right w:w="108" w:type="dxa"/>
          </w:tblCellMar>
        </w:tblPrEx>
        <w:trPr>
          <w:trHeight w:val="390" w:hRule="atLeast"/>
          <w:jc w:val="center"/>
        </w:trPr>
        <w:tc>
          <w:tcPr>
            <w:tcW w:w="9581" w:type="dxa"/>
            <w:gridSpan w:val="10"/>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right"/>
              <w:rPr>
                <w:rFonts w:hint="eastAsia" w:ascii="仿宋" w:hAnsi="仿宋" w:eastAsia="仿宋" w:cs="仿宋"/>
                <w:color w:val="auto"/>
                <w:kern w:val="0"/>
                <w:sz w:val="24"/>
              </w:rPr>
            </w:pPr>
            <w:r>
              <w:rPr>
                <w:rFonts w:hint="eastAsia" w:ascii="仿宋" w:hAnsi="仿宋" w:eastAsia="仿宋" w:cs="仿宋"/>
                <w:color w:val="auto"/>
                <w:kern w:val="0"/>
                <w:sz w:val="24"/>
              </w:rPr>
              <w:t>单位：亿元、亿股、%</w:t>
            </w:r>
          </w:p>
        </w:tc>
      </w:tr>
      <w:tr>
        <w:tblPrEx>
          <w:tblCellMar>
            <w:top w:w="0" w:type="dxa"/>
            <w:left w:w="108" w:type="dxa"/>
            <w:bottom w:w="0" w:type="dxa"/>
            <w:right w:w="108" w:type="dxa"/>
          </w:tblCellMar>
        </w:tblPrEx>
        <w:trPr>
          <w:trHeight w:val="905" w:hRule="atLeast"/>
          <w:jc w:val="center"/>
        </w:trPr>
        <w:tc>
          <w:tcPr>
            <w:tcW w:w="12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股金</w:t>
            </w:r>
          </w:p>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分类</w:t>
            </w:r>
          </w:p>
        </w:tc>
        <w:tc>
          <w:tcPr>
            <w:tcW w:w="18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年初数</w:t>
            </w:r>
          </w:p>
        </w:tc>
        <w:tc>
          <w:tcPr>
            <w:tcW w:w="454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本年度变动（+ -）</w:t>
            </w:r>
          </w:p>
        </w:tc>
        <w:tc>
          <w:tcPr>
            <w:tcW w:w="19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变动后</w:t>
            </w:r>
          </w:p>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年末数</w:t>
            </w:r>
          </w:p>
        </w:tc>
      </w:tr>
      <w:tr>
        <w:tblPrEx>
          <w:tblCellMar>
            <w:top w:w="0" w:type="dxa"/>
            <w:left w:w="108" w:type="dxa"/>
            <w:bottom w:w="0" w:type="dxa"/>
            <w:right w:w="108" w:type="dxa"/>
          </w:tblCellMar>
        </w:tblPrEx>
        <w:trPr>
          <w:trHeight w:val="996" w:hRule="atLeast"/>
          <w:jc w:val="center"/>
        </w:trPr>
        <w:tc>
          <w:tcPr>
            <w:tcW w:w="12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　</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比例</w:t>
            </w:r>
          </w:p>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增资</w:t>
            </w:r>
          </w:p>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扩股</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转让</w:t>
            </w:r>
          </w:p>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股金</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退股</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转为投资股</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其他</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数量</w:t>
            </w: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比例</w:t>
            </w:r>
          </w:p>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w:t>
            </w:r>
          </w:p>
        </w:tc>
      </w:tr>
      <w:tr>
        <w:tblPrEx>
          <w:tblCellMar>
            <w:top w:w="0" w:type="dxa"/>
            <w:left w:w="108" w:type="dxa"/>
            <w:bottom w:w="0" w:type="dxa"/>
            <w:right w:w="108" w:type="dxa"/>
          </w:tblCellMar>
        </w:tblPrEx>
        <w:trPr>
          <w:trHeight w:val="708" w:hRule="atLeast"/>
          <w:jc w:val="center"/>
        </w:trPr>
        <w:tc>
          <w:tcPr>
            <w:tcW w:w="12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kern w:val="0"/>
                <w:sz w:val="24"/>
              </w:rPr>
              <w:t>投资股东</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ascii="仿宋" w:hAnsi="仿宋" w:eastAsia="仿宋" w:cs="仿宋"/>
                <w:color w:val="auto"/>
                <w:kern w:val="0"/>
                <w:sz w:val="24"/>
              </w:rPr>
            </w:pPr>
            <w:r>
              <w:rPr>
                <w:rFonts w:hint="eastAsia" w:ascii="仿宋" w:hAnsi="仿宋" w:eastAsia="仿宋" w:cs="仿宋"/>
                <w:kern w:val="0"/>
                <w:sz w:val="24"/>
                <w:lang w:val="en-US" w:eastAsia="zh-CN"/>
              </w:rPr>
              <w:t>2</w:t>
            </w: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kern w:val="0"/>
                <w:sz w:val="24"/>
              </w:rPr>
              <w:t>100</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ascii="仿宋" w:hAnsi="仿宋" w:eastAsia="仿宋" w:cs="仿宋"/>
                <w:color w:val="auto"/>
                <w:kern w:val="0"/>
                <w:sz w:val="24"/>
              </w:rPr>
            </w:pPr>
            <w:r>
              <w:rPr>
                <w:rFonts w:hint="eastAsia" w:ascii="仿宋" w:hAnsi="仿宋" w:eastAsia="仿宋" w:cs="仿宋"/>
                <w:kern w:val="0"/>
                <w:sz w:val="24"/>
              </w:rPr>
              <w:t>0</w:t>
            </w:r>
          </w:p>
        </w:tc>
        <w:tc>
          <w:tcPr>
            <w:tcW w:w="9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kern w:val="0"/>
                <w:sz w:val="24"/>
              </w:rPr>
              <w:t>0</w:t>
            </w:r>
          </w:p>
        </w:tc>
        <w:tc>
          <w:tcPr>
            <w:tcW w:w="8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kern w:val="0"/>
                <w:sz w:val="24"/>
              </w:rPr>
              <w:t>0</w:t>
            </w:r>
          </w:p>
        </w:tc>
        <w:tc>
          <w:tcPr>
            <w:tcW w:w="9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kern w:val="0"/>
                <w:sz w:val="24"/>
              </w:rPr>
              <w:t>0</w:t>
            </w:r>
          </w:p>
        </w:tc>
        <w:tc>
          <w:tcPr>
            <w:tcW w:w="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kern w:val="0"/>
                <w:sz w:val="24"/>
              </w:rPr>
              <w:t>0</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ascii="仿宋" w:hAnsi="仿宋" w:eastAsia="仿宋" w:cs="仿宋"/>
                <w:color w:val="auto"/>
                <w:kern w:val="0"/>
                <w:sz w:val="24"/>
              </w:rPr>
            </w:pPr>
            <w:r>
              <w:rPr>
                <w:rFonts w:hint="eastAsia" w:ascii="仿宋" w:hAnsi="仿宋" w:eastAsia="仿宋" w:cs="仿宋"/>
                <w:kern w:val="0"/>
                <w:sz w:val="24"/>
                <w:lang w:val="en-US" w:eastAsia="zh-CN"/>
              </w:rPr>
              <w:t>2</w:t>
            </w:r>
          </w:p>
        </w:tc>
        <w:tc>
          <w:tcPr>
            <w:tcW w:w="9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kern w:val="0"/>
                <w:sz w:val="24"/>
              </w:rPr>
              <w:t>100</w:t>
            </w:r>
          </w:p>
        </w:tc>
      </w:tr>
      <w:tr>
        <w:tblPrEx>
          <w:tblCellMar>
            <w:top w:w="0" w:type="dxa"/>
            <w:left w:w="108" w:type="dxa"/>
            <w:bottom w:w="0" w:type="dxa"/>
            <w:right w:w="108" w:type="dxa"/>
          </w:tblCellMar>
        </w:tblPrEx>
        <w:trPr>
          <w:trHeight w:val="633" w:hRule="atLeast"/>
          <w:jc w:val="center"/>
        </w:trPr>
        <w:tc>
          <w:tcPr>
            <w:tcW w:w="128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kern w:val="0"/>
                <w:sz w:val="24"/>
              </w:rPr>
              <w:t>股本总额</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default" w:ascii="仿宋" w:hAnsi="仿宋" w:eastAsia="仿宋" w:cs="仿宋"/>
                <w:color w:val="auto"/>
                <w:kern w:val="0"/>
                <w:sz w:val="24"/>
                <w:lang w:val="en-US" w:eastAsia="zh-CN"/>
              </w:rPr>
            </w:pPr>
            <w:r>
              <w:rPr>
                <w:rFonts w:hint="eastAsia" w:ascii="仿宋" w:hAnsi="仿宋" w:eastAsia="仿宋" w:cs="仿宋"/>
                <w:kern w:val="0"/>
                <w:sz w:val="24"/>
                <w:lang w:val="en-US" w:eastAsia="zh-CN"/>
              </w:rPr>
              <w:t>1</w:t>
            </w:r>
          </w:p>
        </w:tc>
        <w:tc>
          <w:tcPr>
            <w:tcW w:w="900"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kern w:val="0"/>
                <w:sz w:val="24"/>
              </w:rPr>
              <w:t>100</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default" w:ascii="仿宋" w:hAnsi="仿宋" w:eastAsia="仿宋" w:cs="仿宋"/>
                <w:color w:val="auto"/>
                <w:kern w:val="0"/>
                <w:sz w:val="24"/>
                <w:lang w:val="en-US" w:eastAsia="zh-CN"/>
              </w:rPr>
            </w:pPr>
            <w:r>
              <w:rPr>
                <w:rFonts w:hint="eastAsia" w:ascii="仿宋" w:hAnsi="仿宋" w:eastAsia="仿宋" w:cs="仿宋"/>
                <w:kern w:val="0"/>
                <w:sz w:val="24"/>
                <w:lang w:val="en-US" w:eastAsia="zh-CN"/>
              </w:rPr>
              <w:t>0</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kern w:val="0"/>
                <w:sz w:val="24"/>
              </w:rPr>
              <w:t>0</w:t>
            </w:r>
          </w:p>
        </w:tc>
        <w:tc>
          <w:tcPr>
            <w:tcW w:w="852"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kern w:val="0"/>
                <w:sz w:val="24"/>
              </w:rPr>
              <w:t>0</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kern w:val="0"/>
                <w:sz w:val="24"/>
              </w:rPr>
              <w:t>0</w:t>
            </w: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kern w:val="0"/>
                <w:sz w:val="24"/>
              </w:rPr>
              <w:t>0</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default" w:ascii="仿宋" w:hAnsi="仿宋" w:eastAsia="仿宋" w:cs="仿宋"/>
                <w:color w:val="auto"/>
                <w:kern w:val="0"/>
                <w:sz w:val="24"/>
                <w:lang w:val="en-US" w:eastAsia="zh-CN"/>
              </w:rPr>
            </w:pPr>
            <w:r>
              <w:rPr>
                <w:rFonts w:hint="eastAsia" w:ascii="仿宋" w:hAnsi="仿宋" w:eastAsia="仿宋" w:cs="仿宋"/>
                <w:kern w:val="0"/>
                <w:sz w:val="24"/>
                <w:lang w:val="en-US" w:eastAsia="zh-CN"/>
              </w:rPr>
              <w:t>1</w:t>
            </w:r>
          </w:p>
        </w:tc>
        <w:tc>
          <w:tcPr>
            <w:tcW w:w="98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7020"/>
              </w:tabs>
              <w:kinsoku/>
              <w:wordWrap/>
              <w:overflowPunct/>
              <w:topLinePunct w:val="0"/>
              <w:autoSpaceDE/>
              <w:autoSpaceDN/>
              <w:bidi w:val="0"/>
              <w:spacing w:line="560" w:lineRule="exact"/>
              <w:jc w:val="center"/>
              <w:rPr>
                <w:rFonts w:hint="eastAsia" w:ascii="仿宋" w:hAnsi="仿宋" w:eastAsia="仿宋" w:cs="仿宋"/>
                <w:color w:val="auto"/>
                <w:kern w:val="0"/>
                <w:sz w:val="24"/>
              </w:rPr>
            </w:pPr>
            <w:r>
              <w:rPr>
                <w:rFonts w:hint="eastAsia" w:ascii="仿宋" w:hAnsi="仿宋" w:eastAsia="仿宋" w:cs="仿宋"/>
                <w:kern w:val="0"/>
                <w:sz w:val="24"/>
              </w:rPr>
              <w:t>100</w:t>
            </w:r>
          </w:p>
        </w:tc>
      </w:tr>
    </w:tbl>
    <w:p>
      <w:pPr>
        <w:keepNext w:val="0"/>
        <w:keepLines w:val="0"/>
        <w:pageBreakBefore w:val="0"/>
        <w:tabs>
          <w:tab w:val="left" w:pos="3690"/>
          <w:tab w:val="left" w:pos="5580"/>
        </w:tabs>
        <w:kinsoku/>
        <w:wordWrap/>
        <w:overflowPunct/>
        <w:topLinePunct w:val="0"/>
        <w:autoSpaceDE/>
        <w:autoSpaceDN/>
        <w:bidi w:val="0"/>
        <w:spacing w:line="560" w:lineRule="exact"/>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（二）股东情况</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sz w:val="30"/>
          <w:szCs w:val="30"/>
          <w:highlight w:val="none"/>
        </w:rPr>
        <w:t>报告期末，</w:t>
      </w:r>
      <w:r>
        <w:rPr>
          <w:rFonts w:hint="eastAsia" w:ascii="仿宋" w:hAnsi="仿宋" w:eastAsia="仿宋" w:cs="仿宋"/>
          <w:sz w:val="30"/>
          <w:szCs w:val="30"/>
          <w:highlight w:val="none"/>
          <w:lang w:eastAsia="zh-CN"/>
        </w:rPr>
        <w:t>赣榆兴福村镇银行</w:t>
      </w:r>
      <w:r>
        <w:rPr>
          <w:rFonts w:hint="eastAsia" w:ascii="仿宋" w:hAnsi="仿宋" w:eastAsia="仿宋" w:cs="仿宋"/>
          <w:sz w:val="30"/>
          <w:szCs w:val="30"/>
          <w:highlight w:val="none"/>
        </w:rPr>
        <w:t>股东总数为</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户，</w:t>
      </w:r>
      <w:r>
        <w:rPr>
          <w:rFonts w:hint="eastAsia" w:ascii="仿宋" w:hAnsi="仿宋" w:eastAsia="仿宋" w:cs="仿宋"/>
          <w:color w:val="auto"/>
          <w:sz w:val="30"/>
          <w:szCs w:val="30"/>
          <w:highlight w:val="none"/>
        </w:rPr>
        <w:t>均为法人股东。</w:t>
      </w:r>
    </w:p>
    <w:p>
      <w:pPr>
        <w:keepNext w:val="0"/>
        <w:keepLines w:val="0"/>
        <w:pageBreakBefore w:val="0"/>
        <w:kinsoku/>
        <w:wordWrap/>
        <w:overflowPunct/>
        <w:topLinePunct w:val="0"/>
        <w:autoSpaceDE/>
        <w:autoSpaceDN/>
        <w:bidi w:val="0"/>
        <w:spacing w:line="560" w:lineRule="exact"/>
        <w:rPr>
          <w:rFonts w:hint="eastAsia" w:ascii="宋体" w:hAnsi="宋体" w:cs="宋体"/>
          <w:b/>
          <w:color w:val="auto"/>
          <w:sz w:val="30"/>
          <w:szCs w:val="30"/>
        </w:rPr>
      </w:pPr>
      <w:r>
        <w:rPr>
          <w:rFonts w:hint="eastAsia" w:ascii="宋体" w:hAnsi="宋体" w:cs="宋体"/>
          <w:b/>
          <w:color w:val="auto"/>
          <w:sz w:val="30"/>
          <w:szCs w:val="30"/>
        </w:rPr>
        <w:t xml:space="preserve">     四、</w:t>
      </w:r>
      <w:r>
        <w:rPr>
          <w:rFonts w:hint="eastAsia" w:ascii="宋体" w:hAnsi="宋体" w:cs="宋体"/>
          <w:b/>
          <w:color w:val="auto"/>
          <w:sz w:val="30"/>
          <w:szCs w:val="30"/>
          <w:lang w:val="en-US" w:eastAsia="zh-CN"/>
        </w:rPr>
        <w:t>赣榆</w:t>
      </w:r>
      <w:r>
        <w:rPr>
          <w:rFonts w:hint="eastAsia" w:ascii="宋体" w:hAnsi="宋体" w:cs="宋体"/>
          <w:b/>
          <w:color w:val="auto"/>
          <w:sz w:val="30"/>
          <w:szCs w:val="30"/>
        </w:rPr>
        <w:t>兴福村镇银行法人治理结构和运作情况</w:t>
      </w:r>
    </w:p>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（一）法人治理结构和内控制度建设情况简介</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赣榆</w:t>
      </w:r>
      <w:r>
        <w:rPr>
          <w:rFonts w:hint="eastAsia" w:ascii="仿宋" w:hAnsi="仿宋" w:eastAsia="仿宋" w:cs="仿宋"/>
          <w:color w:val="auto"/>
          <w:sz w:val="30"/>
          <w:szCs w:val="30"/>
        </w:rPr>
        <w:t>兴福村镇银行</w:t>
      </w:r>
      <w:r>
        <w:rPr>
          <w:rFonts w:hint="eastAsia" w:ascii="仿宋" w:hAnsi="仿宋" w:eastAsia="仿宋" w:cs="仿宋"/>
          <w:color w:val="auto"/>
          <w:sz w:val="30"/>
          <w:szCs w:val="30"/>
          <w:lang w:eastAsia="zh-CN"/>
        </w:rPr>
        <w:t>按照监管部门</w:t>
      </w:r>
      <w:r>
        <w:rPr>
          <w:rFonts w:hint="eastAsia" w:ascii="仿宋" w:hAnsi="仿宋" w:eastAsia="仿宋" w:cs="仿宋"/>
          <w:color w:val="auto"/>
          <w:sz w:val="30"/>
          <w:szCs w:val="30"/>
        </w:rPr>
        <w:t>有关规定，完善法人治理结构，设立</w:t>
      </w:r>
      <w:r>
        <w:rPr>
          <w:rFonts w:hint="eastAsia" w:ascii="仿宋" w:hAnsi="仿宋" w:eastAsia="仿宋" w:cs="仿宋"/>
          <w:color w:val="auto"/>
          <w:sz w:val="30"/>
          <w:szCs w:val="30"/>
          <w:lang w:eastAsia="zh-CN"/>
        </w:rPr>
        <w:t>股东大会</w:t>
      </w:r>
      <w:r>
        <w:rPr>
          <w:rFonts w:hint="eastAsia" w:ascii="仿宋" w:hAnsi="仿宋" w:eastAsia="仿宋" w:cs="仿宋"/>
          <w:color w:val="auto"/>
          <w:sz w:val="30"/>
          <w:szCs w:val="30"/>
        </w:rPr>
        <w:t>、董事会、监事会、高级管理层。</w:t>
      </w:r>
      <w:r>
        <w:rPr>
          <w:rFonts w:hint="eastAsia" w:ascii="仿宋" w:hAnsi="仿宋" w:eastAsia="仿宋" w:cs="仿宋"/>
          <w:color w:val="auto"/>
          <w:sz w:val="30"/>
          <w:szCs w:val="30"/>
          <w:lang w:eastAsia="zh-CN"/>
        </w:rPr>
        <w:t>股东大会</w:t>
      </w:r>
      <w:r>
        <w:rPr>
          <w:rFonts w:hint="eastAsia" w:ascii="仿宋" w:hAnsi="仿宋" w:eastAsia="仿宋" w:cs="仿宋"/>
          <w:color w:val="auto"/>
          <w:sz w:val="30"/>
          <w:szCs w:val="30"/>
        </w:rPr>
        <w:t>是</w:t>
      </w:r>
      <w:r>
        <w:rPr>
          <w:rFonts w:hint="eastAsia" w:ascii="仿宋" w:hAnsi="仿宋" w:eastAsia="仿宋" w:cs="仿宋"/>
          <w:color w:val="auto"/>
          <w:sz w:val="30"/>
          <w:szCs w:val="30"/>
          <w:lang w:val="en-US" w:eastAsia="zh-CN"/>
        </w:rPr>
        <w:t>赣榆</w:t>
      </w:r>
      <w:r>
        <w:rPr>
          <w:rFonts w:hint="eastAsia" w:ascii="仿宋" w:hAnsi="仿宋" w:eastAsia="仿宋" w:cs="仿宋"/>
          <w:color w:val="auto"/>
          <w:sz w:val="30"/>
          <w:szCs w:val="30"/>
        </w:rPr>
        <w:t>兴福村镇银行的权力机构，对重大事项做出决议。董事会是</w:t>
      </w:r>
      <w:r>
        <w:rPr>
          <w:rFonts w:hint="eastAsia" w:ascii="仿宋" w:hAnsi="仿宋" w:eastAsia="仿宋" w:cs="仿宋"/>
          <w:color w:val="auto"/>
          <w:sz w:val="30"/>
          <w:szCs w:val="30"/>
          <w:lang w:eastAsia="zh-CN"/>
        </w:rPr>
        <w:t>股东大会</w:t>
      </w:r>
      <w:r>
        <w:rPr>
          <w:rFonts w:hint="eastAsia" w:ascii="仿宋" w:hAnsi="仿宋" w:eastAsia="仿宋" w:cs="仿宋"/>
          <w:color w:val="auto"/>
          <w:sz w:val="30"/>
          <w:szCs w:val="30"/>
        </w:rPr>
        <w:t>的执行机构和本行经营决策机构，对</w:t>
      </w:r>
      <w:r>
        <w:rPr>
          <w:rFonts w:hint="eastAsia" w:ascii="仿宋" w:hAnsi="仿宋" w:eastAsia="仿宋" w:cs="仿宋"/>
          <w:color w:val="auto"/>
          <w:sz w:val="30"/>
          <w:szCs w:val="30"/>
          <w:lang w:eastAsia="zh-CN"/>
        </w:rPr>
        <w:t>股东大会</w:t>
      </w:r>
      <w:r>
        <w:rPr>
          <w:rFonts w:hint="eastAsia" w:ascii="仿宋" w:hAnsi="仿宋" w:eastAsia="仿宋" w:cs="仿宋"/>
          <w:color w:val="auto"/>
          <w:sz w:val="30"/>
          <w:szCs w:val="30"/>
        </w:rPr>
        <w:t>负责；作为投资人的代表，董事会负责重大事项的决策，并承担因决策失误造成经营损失的直接责任。监事会是</w:t>
      </w:r>
      <w:r>
        <w:rPr>
          <w:rFonts w:hint="eastAsia" w:ascii="仿宋" w:hAnsi="仿宋" w:eastAsia="仿宋" w:cs="仿宋"/>
          <w:color w:val="auto"/>
          <w:sz w:val="30"/>
          <w:szCs w:val="30"/>
          <w:lang w:val="en-US" w:eastAsia="zh-CN"/>
        </w:rPr>
        <w:t>赣榆</w:t>
      </w:r>
      <w:r>
        <w:rPr>
          <w:rFonts w:hint="eastAsia" w:ascii="仿宋" w:hAnsi="仿宋" w:eastAsia="仿宋" w:cs="仿宋"/>
          <w:color w:val="auto"/>
          <w:sz w:val="30"/>
          <w:szCs w:val="30"/>
        </w:rPr>
        <w:t>兴福村镇银行的</w:t>
      </w:r>
      <w:r>
        <w:rPr>
          <w:rFonts w:hint="eastAsia" w:ascii="仿宋" w:hAnsi="仿宋" w:eastAsia="仿宋" w:cs="仿宋"/>
          <w:color w:val="auto"/>
          <w:sz w:val="30"/>
          <w:szCs w:val="30"/>
          <w:lang w:eastAsia="zh-CN"/>
        </w:rPr>
        <w:t>监督机构</w:t>
      </w:r>
      <w:r>
        <w:rPr>
          <w:rFonts w:hint="eastAsia" w:ascii="仿宋" w:hAnsi="仿宋" w:eastAsia="仿宋" w:cs="仿宋"/>
          <w:color w:val="auto"/>
          <w:sz w:val="30"/>
          <w:szCs w:val="30"/>
        </w:rPr>
        <w:t>，对</w:t>
      </w:r>
      <w:r>
        <w:rPr>
          <w:rFonts w:hint="eastAsia" w:ascii="仿宋" w:hAnsi="仿宋" w:eastAsia="仿宋" w:cs="仿宋"/>
          <w:color w:val="auto"/>
          <w:sz w:val="30"/>
          <w:szCs w:val="30"/>
          <w:lang w:eastAsia="zh-CN"/>
        </w:rPr>
        <w:t>股东大会</w:t>
      </w:r>
      <w:r>
        <w:rPr>
          <w:rFonts w:hint="eastAsia" w:ascii="仿宋" w:hAnsi="仿宋" w:eastAsia="仿宋" w:cs="仿宋"/>
          <w:color w:val="auto"/>
          <w:sz w:val="30"/>
          <w:szCs w:val="30"/>
        </w:rPr>
        <w:t>负责，代表股东及其他利益相关者对董事会和高级管理层的行为进行监督。高级管理层实行董事会领导下的行长负责制，执行董事会决议，实行任期目标管理，履行经营管理职责，对经营不善或违规经营等造成的损失承担主要责任。</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eastAsia="zh-CN"/>
        </w:rPr>
        <w:t>股东大会</w:t>
      </w:r>
      <w:r>
        <w:rPr>
          <w:rFonts w:hint="eastAsia" w:ascii="仿宋" w:hAnsi="仿宋" w:eastAsia="仿宋" w:cs="仿宋"/>
          <w:color w:val="auto"/>
          <w:sz w:val="30"/>
          <w:szCs w:val="30"/>
        </w:rPr>
        <w:t>由全体股东组成，是</w:t>
      </w:r>
      <w:r>
        <w:rPr>
          <w:rFonts w:hint="eastAsia" w:ascii="仿宋" w:hAnsi="仿宋" w:eastAsia="仿宋" w:cs="仿宋"/>
          <w:color w:val="auto"/>
          <w:sz w:val="30"/>
          <w:szCs w:val="30"/>
          <w:lang w:val="en-US" w:eastAsia="zh-CN"/>
        </w:rPr>
        <w:t>赣榆</w:t>
      </w:r>
      <w:r>
        <w:rPr>
          <w:rFonts w:hint="eastAsia" w:ascii="仿宋" w:hAnsi="仿宋" w:eastAsia="仿宋" w:cs="仿宋"/>
          <w:color w:val="auto"/>
          <w:sz w:val="30"/>
          <w:szCs w:val="30"/>
        </w:rPr>
        <w:t>兴福村镇银行的权力机构。依法对有关重大事项做出决策，包括审议批准利润分配方案、年度财务预算方案和决算方案、弥补亏损方案、注册资本的改变、发行债券、合并、分立以及修改公司章程等。股东可亲自出席</w:t>
      </w:r>
      <w:r>
        <w:rPr>
          <w:rFonts w:hint="eastAsia" w:ascii="仿宋" w:hAnsi="仿宋" w:eastAsia="仿宋" w:cs="仿宋"/>
          <w:color w:val="auto"/>
          <w:sz w:val="30"/>
          <w:szCs w:val="30"/>
          <w:lang w:eastAsia="zh-CN"/>
        </w:rPr>
        <w:t>股东大会</w:t>
      </w:r>
      <w:r>
        <w:rPr>
          <w:rFonts w:hint="eastAsia" w:ascii="仿宋" w:hAnsi="仿宋" w:eastAsia="仿宋" w:cs="仿宋"/>
          <w:color w:val="auto"/>
          <w:sz w:val="30"/>
          <w:szCs w:val="30"/>
        </w:rPr>
        <w:t>，也可委托代理人代为出席和表决。股东（包括代理人）出席</w:t>
      </w:r>
      <w:r>
        <w:rPr>
          <w:rFonts w:hint="eastAsia" w:ascii="仿宋" w:hAnsi="仿宋" w:eastAsia="仿宋" w:cs="仿宋"/>
          <w:color w:val="auto"/>
          <w:sz w:val="30"/>
          <w:szCs w:val="30"/>
          <w:lang w:eastAsia="zh-CN"/>
        </w:rPr>
        <w:t>股东大会</w:t>
      </w:r>
      <w:r>
        <w:rPr>
          <w:rFonts w:hint="eastAsia" w:ascii="仿宋" w:hAnsi="仿宋" w:eastAsia="仿宋" w:cs="仿宋"/>
          <w:color w:val="auto"/>
          <w:sz w:val="30"/>
          <w:szCs w:val="30"/>
        </w:rPr>
        <w:t>，所持每一股份有一票表决权。</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2、董事会由</w:t>
      </w:r>
      <w:r>
        <w:rPr>
          <w:rFonts w:hint="eastAsia" w:ascii="仿宋" w:hAnsi="仿宋" w:eastAsia="仿宋" w:cs="仿宋"/>
          <w:color w:val="auto"/>
          <w:sz w:val="30"/>
          <w:szCs w:val="30"/>
          <w:lang w:eastAsia="zh-CN"/>
        </w:rPr>
        <w:t>股东大会</w:t>
      </w:r>
      <w:r>
        <w:rPr>
          <w:rFonts w:hint="eastAsia" w:ascii="仿宋" w:hAnsi="仿宋" w:eastAsia="仿宋" w:cs="仿宋"/>
          <w:color w:val="auto"/>
          <w:sz w:val="30"/>
          <w:szCs w:val="30"/>
        </w:rPr>
        <w:t>选举产生的董事组成，是股东</w:t>
      </w:r>
      <w:r>
        <w:rPr>
          <w:rFonts w:hint="eastAsia" w:ascii="仿宋" w:hAnsi="仿宋" w:eastAsia="仿宋" w:cs="仿宋"/>
          <w:color w:val="auto"/>
          <w:sz w:val="30"/>
          <w:szCs w:val="30"/>
          <w:lang w:eastAsia="zh-CN"/>
        </w:rPr>
        <w:t>大</w:t>
      </w:r>
      <w:r>
        <w:rPr>
          <w:rFonts w:hint="eastAsia" w:ascii="仿宋" w:hAnsi="仿宋" w:eastAsia="仿宋" w:cs="仿宋"/>
          <w:color w:val="auto"/>
          <w:sz w:val="30"/>
          <w:szCs w:val="30"/>
        </w:rPr>
        <w:t>会的执行机构和</w:t>
      </w:r>
      <w:r>
        <w:rPr>
          <w:rFonts w:hint="eastAsia" w:ascii="仿宋" w:hAnsi="仿宋" w:eastAsia="仿宋" w:cs="仿宋"/>
          <w:color w:val="auto"/>
          <w:sz w:val="30"/>
          <w:szCs w:val="30"/>
          <w:lang w:val="en-US" w:eastAsia="zh-CN"/>
        </w:rPr>
        <w:t>赣榆</w:t>
      </w:r>
      <w:r>
        <w:rPr>
          <w:rFonts w:hint="eastAsia" w:ascii="仿宋" w:hAnsi="仿宋" w:eastAsia="仿宋" w:cs="仿宋"/>
          <w:color w:val="auto"/>
          <w:sz w:val="30"/>
          <w:szCs w:val="30"/>
        </w:rPr>
        <w:t>兴福村镇银行的经营决策机构，对</w:t>
      </w:r>
      <w:r>
        <w:rPr>
          <w:rFonts w:hint="eastAsia" w:ascii="仿宋" w:hAnsi="仿宋" w:eastAsia="仿宋" w:cs="仿宋"/>
          <w:color w:val="auto"/>
          <w:sz w:val="30"/>
          <w:szCs w:val="30"/>
          <w:lang w:eastAsia="zh-CN"/>
        </w:rPr>
        <w:t>股东大会</w:t>
      </w:r>
      <w:r>
        <w:rPr>
          <w:rFonts w:hint="eastAsia" w:ascii="仿宋" w:hAnsi="仿宋" w:eastAsia="仿宋" w:cs="仿宋"/>
          <w:color w:val="auto"/>
          <w:sz w:val="30"/>
          <w:szCs w:val="30"/>
        </w:rPr>
        <w:t>负责。董事长由董事</w:t>
      </w:r>
      <w:r>
        <w:rPr>
          <w:rFonts w:hint="eastAsia" w:ascii="仿宋" w:hAnsi="仿宋" w:eastAsia="仿宋" w:cs="仿宋"/>
          <w:color w:val="auto"/>
          <w:sz w:val="30"/>
          <w:szCs w:val="30"/>
          <w:lang w:val="en-US" w:eastAsia="zh-CN"/>
        </w:rPr>
        <w:t>会</w:t>
      </w:r>
      <w:r>
        <w:rPr>
          <w:rFonts w:hint="eastAsia" w:ascii="仿宋" w:hAnsi="仿宋" w:eastAsia="仿宋" w:cs="仿宋"/>
          <w:color w:val="auto"/>
          <w:sz w:val="30"/>
          <w:szCs w:val="30"/>
        </w:rPr>
        <w:t>提名，经董事</w:t>
      </w:r>
      <w:r>
        <w:rPr>
          <w:rFonts w:hint="eastAsia" w:ascii="仿宋" w:hAnsi="仿宋" w:eastAsia="仿宋" w:cs="仿宋"/>
          <w:color w:val="auto"/>
          <w:sz w:val="30"/>
          <w:szCs w:val="30"/>
          <w:lang w:val="en-US" w:eastAsia="zh-CN"/>
        </w:rPr>
        <w:t>会</w:t>
      </w:r>
      <w:r>
        <w:rPr>
          <w:rFonts w:hint="eastAsia" w:ascii="仿宋" w:hAnsi="仿宋" w:eastAsia="仿宋" w:cs="仿宋"/>
          <w:color w:val="auto"/>
          <w:sz w:val="30"/>
          <w:szCs w:val="30"/>
        </w:rPr>
        <w:t>过半数选举产生，报经银行保险监督管理机构核准任职资格后履行职责。董事每届任期3年，可连选连任。董事会作为投资人的代表，负责重大事项的决策，并承担因决策失误造成经营损失的直接责任。</w:t>
      </w:r>
    </w:p>
    <w:p>
      <w:pPr>
        <w:keepNext w:val="0"/>
        <w:keepLines w:val="0"/>
        <w:pageBreakBefore w:val="0"/>
        <w:kinsoku/>
        <w:wordWrap/>
        <w:overflowPunct/>
        <w:topLinePunct w:val="0"/>
        <w:autoSpaceDE/>
        <w:autoSpaceDN/>
        <w:bidi w:val="0"/>
        <w:spacing w:line="560" w:lineRule="exact"/>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rPr>
        <w:t>董事会设</w:t>
      </w:r>
      <w:r>
        <w:rPr>
          <w:rFonts w:hint="eastAsia" w:ascii="仿宋" w:hAnsi="仿宋" w:eastAsia="仿宋" w:cs="仿宋"/>
          <w:sz w:val="30"/>
          <w:szCs w:val="30"/>
          <w:lang w:val="en-US" w:eastAsia="zh-CN"/>
        </w:rPr>
        <w:t>5名</w:t>
      </w:r>
      <w:r>
        <w:rPr>
          <w:rFonts w:hint="eastAsia" w:ascii="仿宋" w:hAnsi="仿宋" w:eastAsia="仿宋" w:cs="仿宋"/>
          <w:sz w:val="30"/>
          <w:szCs w:val="30"/>
        </w:rPr>
        <w:t>董事</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董事长张井瑞，董事王华肖为本行执行董事，股权董事徐鹏飞系本行主要股东兴福村镇股份有限</w:t>
      </w:r>
      <w:r>
        <w:rPr>
          <w:rFonts w:hint="eastAsia" w:ascii="仿宋" w:hAnsi="仿宋" w:eastAsia="仿宋" w:cs="仿宋"/>
          <w:sz w:val="30"/>
          <w:szCs w:val="30"/>
          <w:highlight w:val="none"/>
          <w:lang w:val="en-US" w:eastAsia="zh-CN"/>
        </w:rPr>
        <w:t>公司综合管理部总经理助理岗；股权董事何时凤系福村镇股份有限公司财务运营部预决算管理岗；股权董事祁煜洲系福村镇股份有限公司普惠金融部总经理助理岗。</w:t>
      </w:r>
    </w:p>
    <w:p>
      <w:pPr>
        <w:keepNext w:val="0"/>
        <w:keepLines w:val="0"/>
        <w:pageBreakBefore w:val="0"/>
        <w:kinsoku/>
        <w:wordWrap/>
        <w:overflowPunct/>
        <w:topLinePunct w:val="0"/>
        <w:autoSpaceDE/>
        <w:autoSpaceDN/>
        <w:bidi w:val="0"/>
        <w:spacing w:line="560" w:lineRule="exact"/>
        <w:ind w:firstLine="600" w:firstLineChars="200"/>
        <w:rPr>
          <w:rFonts w:hint="default" w:ascii="仿宋" w:hAnsi="仿宋" w:eastAsia="仿宋" w:cs="仿宋"/>
          <w:color w:val="auto"/>
          <w:sz w:val="30"/>
          <w:szCs w:val="30"/>
          <w:lang w:val="en-US"/>
        </w:rPr>
      </w:pPr>
      <w:r>
        <w:rPr>
          <w:rFonts w:hint="eastAsia" w:ascii="仿宋" w:hAnsi="仿宋" w:eastAsia="仿宋" w:cs="仿宋"/>
          <w:color w:val="auto"/>
          <w:sz w:val="30"/>
          <w:szCs w:val="30"/>
          <w:lang w:val="en-US" w:eastAsia="zh-CN"/>
        </w:rPr>
        <w:t>报告期内，本行董事按照法律法规、监管规定及公司章程勤勉尽责履职。全体董事通过出席股东大会、董事会、专门委员会等会议、现场调研、沟通问询、审阅资料、专项检查等方式有效履职，执行董事全年在本行工作，履职时间与履职质量均满足监管及本行规定。股权董事在本行实际履职25个工作日。</w:t>
      </w:r>
    </w:p>
    <w:p>
      <w:pPr>
        <w:keepNext w:val="0"/>
        <w:keepLines w:val="0"/>
        <w:pageBreakBefore w:val="0"/>
        <w:numPr>
          <w:ilvl w:val="0"/>
          <w:numId w:val="2"/>
        </w:numPr>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监事会由股东</w:t>
      </w:r>
      <w:r>
        <w:rPr>
          <w:rFonts w:hint="eastAsia" w:ascii="仿宋" w:hAnsi="仿宋" w:eastAsia="仿宋" w:cs="仿宋"/>
          <w:color w:val="auto"/>
          <w:sz w:val="30"/>
          <w:szCs w:val="30"/>
          <w:lang w:eastAsia="zh-CN"/>
        </w:rPr>
        <w:t>大</w:t>
      </w:r>
      <w:r>
        <w:rPr>
          <w:rFonts w:hint="eastAsia" w:ascii="仿宋" w:hAnsi="仿宋" w:eastAsia="仿宋" w:cs="仿宋"/>
          <w:color w:val="auto"/>
          <w:sz w:val="30"/>
          <w:szCs w:val="30"/>
        </w:rPr>
        <w:t>会选举的监事组成，为</w:t>
      </w:r>
      <w:r>
        <w:rPr>
          <w:rFonts w:hint="eastAsia" w:ascii="仿宋" w:hAnsi="仿宋" w:eastAsia="仿宋" w:cs="仿宋"/>
          <w:color w:val="auto"/>
          <w:sz w:val="30"/>
          <w:szCs w:val="30"/>
          <w:lang w:val="en-US" w:eastAsia="zh-CN"/>
        </w:rPr>
        <w:t>赣榆</w:t>
      </w:r>
      <w:r>
        <w:rPr>
          <w:rFonts w:hint="eastAsia" w:ascii="仿宋" w:hAnsi="仿宋" w:eastAsia="仿宋" w:cs="仿宋"/>
          <w:color w:val="auto"/>
          <w:sz w:val="30"/>
          <w:szCs w:val="30"/>
        </w:rPr>
        <w:t>兴福村镇银行的监督机构，对股东</w:t>
      </w:r>
      <w:r>
        <w:rPr>
          <w:rFonts w:hint="eastAsia" w:ascii="仿宋" w:hAnsi="仿宋" w:eastAsia="仿宋" w:cs="仿宋"/>
          <w:color w:val="auto"/>
          <w:sz w:val="30"/>
          <w:szCs w:val="30"/>
          <w:lang w:eastAsia="zh-CN"/>
        </w:rPr>
        <w:t>大</w:t>
      </w:r>
      <w:r>
        <w:rPr>
          <w:rFonts w:hint="eastAsia" w:ascii="仿宋" w:hAnsi="仿宋" w:eastAsia="仿宋" w:cs="仿宋"/>
          <w:color w:val="auto"/>
          <w:sz w:val="30"/>
          <w:szCs w:val="30"/>
        </w:rPr>
        <w:t>会负责。监事会设监事3人</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监事长1人、</w:t>
      </w:r>
      <w:r>
        <w:rPr>
          <w:rFonts w:hint="eastAsia" w:ascii="仿宋" w:hAnsi="仿宋" w:eastAsia="仿宋" w:cs="仿宋"/>
          <w:color w:val="auto"/>
          <w:sz w:val="30"/>
          <w:szCs w:val="30"/>
        </w:rPr>
        <w:t>职工监事</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人</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股权监事1人</w:t>
      </w:r>
      <w:r>
        <w:rPr>
          <w:rFonts w:hint="eastAsia" w:ascii="仿宋" w:hAnsi="仿宋" w:eastAsia="仿宋" w:cs="仿宋"/>
          <w:color w:val="auto"/>
          <w:sz w:val="30"/>
          <w:szCs w:val="30"/>
          <w:lang w:eastAsia="zh-CN"/>
        </w:rPr>
        <w:t>），监事长为</w:t>
      </w:r>
      <w:r>
        <w:rPr>
          <w:rFonts w:hint="eastAsia" w:ascii="仿宋" w:hAnsi="仿宋" w:eastAsia="仿宋" w:cs="仿宋"/>
          <w:color w:val="auto"/>
          <w:sz w:val="30"/>
          <w:szCs w:val="30"/>
          <w:lang w:val="en-US" w:eastAsia="zh-CN"/>
        </w:rPr>
        <w:t>顾晓</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监事长由</w:t>
      </w:r>
      <w:r>
        <w:rPr>
          <w:rFonts w:hint="eastAsia" w:ascii="仿宋" w:hAnsi="仿宋" w:eastAsia="仿宋" w:cs="仿宋"/>
          <w:color w:val="auto"/>
          <w:sz w:val="30"/>
          <w:szCs w:val="30"/>
          <w:lang w:val="en-US" w:eastAsia="zh-CN"/>
        </w:rPr>
        <w:t>监事会</w:t>
      </w:r>
      <w:r>
        <w:rPr>
          <w:rFonts w:hint="eastAsia" w:ascii="仿宋" w:hAnsi="仿宋" w:eastAsia="仿宋" w:cs="仿宋"/>
          <w:color w:val="auto"/>
          <w:sz w:val="30"/>
          <w:szCs w:val="30"/>
        </w:rPr>
        <w:t>提名，经</w:t>
      </w:r>
      <w:r>
        <w:rPr>
          <w:rFonts w:hint="eastAsia" w:ascii="仿宋" w:hAnsi="仿宋" w:eastAsia="仿宋" w:cs="仿宋"/>
          <w:color w:val="auto"/>
          <w:sz w:val="30"/>
          <w:szCs w:val="30"/>
          <w:lang w:val="en-US" w:eastAsia="zh-CN"/>
        </w:rPr>
        <w:t>监事会</w:t>
      </w:r>
      <w:r>
        <w:rPr>
          <w:rFonts w:hint="eastAsia" w:ascii="仿宋" w:hAnsi="仿宋" w:eastAsia="仿宋" w:cs="仿宋"/>
          <w:color w:val="auto"/>
          <w:sz w:val="30"/>
          <w:szCs w:val="30"/>
        </w:rPr>
        <w:t>过半数选举产生，报经银行业监督管理机构备案后履行职责。</w:t>
      </w:r>
      <w:r>
        <w:rPr>
          <w:rFonts w:hint="eastAsia" w:ascii="仿宋" w:hAnsi="仿宋" w:eastAsia="仿宋" w:cs="仿宋"/>
          <w:color w:val="auto"/>
          <w:sz w:val="30"/>
          <w:szCs w:val="30"/>
          <w:lang w:val="en-US" w:eastAsia="zh-CN"/>
        </w:rPr>
        <w:t>赣榆</w:t>
      </w:r>
      <w:r>
        <w:rPr>
          <w:rFonts w:hint="eastAsia" w:ascii="仿宋" w:hAnsi="仿宋" w:eastAsia="仿宋" w:cs="仿宋"/>
          <w:color w:val="auto"/>
          <w:sz w:val="30"/>
          <w:szCs w:val="30"/>
        </w:rPr>
        <w:t>兴福村镇银行董事会成员、行长、行长助理及财务主管均不得担任监事。监事分别依照章程及各自的议事规则履行职责。报告期内，</w:t>
      </w:r>
      <w:r>
        <w:rPr>
          <w:rFonts w:hint="eastAsia" w:ascii="仿宋" w:hAnsi="仿宋" w:eastAsia="仿宋" w:cs="仿宋"/>
          <w:color w:val="auto"/>
          <w:sz w:val="30"/>
          <w:szCs w:val="30"/>
          <w:lang w:eastAsia="zh-CN"/>
        </w:rPr>
        <w:t>监事</w:t>
      </w:r>
      <w:r>
        <w:rPr>
          <w:rFonts w:hint="eastAsia" w:ascii="仿宋" w:hAnsi="仿宋" w:eastAsia="仿宋" w:cs="仿宋"/>
          <w:color w:val="auto"/>
          <w:sz w:val="30"/>
          <w:szCs w:val="30"/>
        </w:rPr>
        <w:t>通过</w:t>
      </w:r>
      <w:r>
        <w:rPr>
          <w:rFonts w:hint="eastAsia" w:ascii="仿宋" w:hAnsi="仿宋" w:eastAsia="仿宋" w:cs="仿宋"/>
          <w:color w:val="auto"/>
          <w:sz w:val="30"/>
          <w:szCs w:val="30"/>
          <w:lang w:eastAsia="zh-CN"/>
        </w:rPr>
        <w:t>召开监事会、</w:t>
      </w:r>
      <w:r>
        <w:rPr>
          <w:rFonts w:hint="eastAsia" w:ascii="仿宋" w:hAnsi="仿宋" w:eastAsia="仿宋" w:cs="仿宋"/>
          <w:color w:val="auto"/>
          <w:sz w:val="30"/>
          <w:szCs w:val="30"/>
        </w:rPr>
        <w:t>列席</w:t>
      </w:r>
      <w:r>
        <w:rPr>
          <w:rFonts w:hint="eastAsia" w:ascii="仿宋" w:hAnsi="仿宋" w:eastAsia="仿宋" w:cs="仿宋"/>
          <w:color w:val="auto"/>
          <w:sz w:val="30"/>
          <w:szCs w:val="30"/>
          <w:lang w:eastAsia="zh-CN"/>
        </w:rPr>
        <w:t>股东大会、董事会等</w:t>
      </w:r>
      <w:r>
        <w:rPr>
          <w:rFonts w:hint="eastAsia" w:ascii="仿宋" w:hAnsi="仿宋" w:eastAsia="仿宋" w:cs="仿宋"/>
          <w:color w:val="auto"/>
          <w:sz w:val="30"/>
          <w:szCs w:val="30"/>
        </w:rPr>
        <w:t>会议、检查监督、问询沟通等方式履职，</w:t>
      </w:r>
      <w:r>
        <w:rPr>
          <w:rFonts w:hint="eastAsia" w:ascii="仿宋" w:hAnsi="仿宋" w:eastAsia="仿宋" w:cs="仿宋"/>
          <w:color w:val="auto"/>
          <w:sz w:val="30"/>
          <w:szCs w:val="30"/>
          <w:lang w:val="en-US" w:eastAsia="zh-CN"/>
        </w:rPr>
        <w:t>履职时间与履职质量均满足监管及本行规定</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职工监事全年在本行工作，股权监事</w:t>
      </w:r>
      <w:r>
        <w:rPr>
          <w:rFonts w:hint="eastAsia" w:ascii="仿宋" w:hAnsi="仿宋" w:eastAsia="仿宋" w:cs="仿宋"/>
          <w:color w:val="auto"/>
          <w:sz w:val="30"/>
          <w:szCs w:val="30"/>
          <w:lang w:val="en-US" w:eastAsia="zh-CN"/>
        </w:rPr>
        <w:t>在本行实际履职18个工作日。</w:t>
      </w:r>
    </w:p>
    <w:p>
      <w:pPr>
        <w:keepNext w:val="0"/>
        <w:keepLines w:val="0"/>
        <w:pageBreakBefore w:val="0"/>
        <w:numPr>
          <w:ilvl w:val="0"/>
          <w:numId w:val="0"/>
        </w:numPr>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rPr>
        <w:t>4、</w:t>
      </w:r>
      <w:r>
        <w:rPr>
          <w:rFonts w:hint="eastAsia" w:ascii="仿宋" w:hAnsi="仿宋" w:eastAsia="仿宋" w:cs="仿宋"/>
          <w:color w:val="auto"/>
          <w:sz w:val="30"/>
          <w:szCs w:val="30"/>
          <w:lang w:eastAsia="zh-CN"/>
        </w:rPr>
        <w:t>报告期末，</w:t>
      </w:r>
      <w:r>
        <w:rPr>
          <w:rFonts w:hint="eastAsia" w:ascii="仿宋" w:hAnsi="仿宋" w:eastAsia="仿宋" w:cs="仿宋"/>
          <w:color w:val="auto"/>
          <w:sz w:val="30"/>
          <w:szCs w:val="30"/>
        </w:rPr>
        <w:t>行长1人、行长助理</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人。行长由董事长提名，经董事会表决通过，报经银行业监督管理机构核准任职资格后由董事会聘任，并根据董事会授权组织开展全行的经营管理活动。行长助理人选由行长提名，经董事会表决通过，报经银行业监督管理机构核准任职资格后由董事会聘任。行长每届任期3年，可连聘连任。</w:t>
      </w:r>
      <w:r>
        <w:rPr>
          <w:rFonts w:hint="eastAsia" w:ascii="仿宋" w:hAnsi="仿宋" w:eastAsia="仿宋" w:cs="仿宋"/>
          <w:color w:val="auto"/>
          <w:sz w:val="30"/>
          <w:szCs w:val="30"/>
          <w:lang w:eastAsia="zh-CN"/>
        </w:rPr>
        <w:t>高级管理人员</w:t>
      </w:r>
      <w:r>
        <w:rPr>
          <w:rFonts w:hint="eastAsia" w:ascii="仿宋" w:hAnsi="仿宋" w:eastAsia="仿宋" w:cs="仿宋"/>
          <w:color w:val="auto"/>
          <w:sz w:val="30"/>
          <w:szCs w:val="30"/>
        </w:rPr>
        <w:t>离任时，须接受离任审计。</w:t>
      </w:r>
    </w:p>
    <w:p>
      <w:pPr>
        <w:keepNext w:val="0"/>
        <w:keepLines w:val="0"/>
        <w:pageBreakBefore w:val="0"/>
        <w:kinsoku/>
        <w:wordWrap/>
        <w:overflowPunct/>
        <w:topLinePunct w:val="0"/>
        <w:autoSpaceDE/>
        <w:autoSpaceDN/>
        <w:bidi w:val="0"/>
        <w:spacing w:line="560" w:lineRule="exact"/>
        <w:ind w:firstLine="600" w:firstLineChars="2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5、为提高法人治理机制运行效果，有效发挥权力机构、决策机构、监督机构以及高级管理层之间的制衡作用，分别制定了“三会”和高级管理层的议事规则，形成规范的法人治理运作制度，促进法人治理水平的不断提升。本行公司治理整体在可控范围内，整体评价有效</w:t>
      </w:r>
      <w:r>
        <w:rPr>
          <w:rFonts w:hint="eastAsia" w:ascii="仿宋" w:hAnsi="仿宋" w:eastAsia="仿宋" w:cs="仿宋"/>
          <w:color w:val="auto"/>
          <w:sz w:val="30"/>
          <w:szCs w:val="30"/>
          <w:lang w:val="en-US" w:eastAsia="zh-CN"/>
        </w:rPr>
        <w:t>。</w:t>
      </w:r>
    </w:p>
    <w:p>
      <w:pPr>
        <w:keepNext w:val="0"/>
        <w:keepLines w:val="0"/>
        <w:pageBreakBefore w:val="0"/>
        <w:kinsoku/>
        <w:wordWrap/>
        <w:overflowPunct/>
        <w:topLinePunct w:val="0"/>
        <w:autoSpaceDE/>
        <w:autoSpaceDN/>
        <w:bidi w:val="0"/>
        <w:spacing w:line="560" w:lineRule="exact"/>
        <w:ind w:firstLine="600" w:firstLineChars="2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当年本行董事、监事和高级管理人员薪酬如下：</w:t>
      </w:r>
    </w:p>
    <w:tbl>
      <w:tblPr>
        <w:tblStyle w:val="8"/>
        <w:tblpPr w:leftFromText="180" w:rightFromText="180" w:vertAnchor="text" w:horzAnchor="page" w:tblpXSpec="center" w:tblpY="224"/>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37"/>
        <w:gridCol w:w="1275"/>
        <w:gridCol w:w="1200"/>
        <w:gridCol w:w="1166"/>
        <w:gridCol w:w="2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11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考核部门</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职务</w:t>
            </w:r>
          </w:p>
        </w:tc>
        <w:tc>
          <w:tcPr>
            <w:tcW w:w="11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姓名</w:t>
            </w:r>
          </w:p>
        </w:tc>
        <w:tc>
          <w:tcPr>
            <w:tcW w:w="22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auto"/>
                <w:kern w:val="0"/>
                <w:sz w:val="18"/>
                <w:szCs w:val="18"/>
                <w:highlight w:val="none"/>
                <w:u w:val="none"/>
                <w:lang w:val="en-US" w:eastAsia="zh-CN" w:bidi="ar"/>
              </w:rPr>
              <w:t>考核薪酬（含津补贴）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11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000000"/>
                <w:sz w:val="18"/>
                <w:szCs w:val="18"/>
                <w:u w:val="none"/>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000000"/>
                <w:sz w:val="18"/>
                <w:szCs w:val="18"/>
                <w:u w:val="none"/>
              </w:rPr>
            </w:pPr>
          </w:p>
        </w:tc>
        <w:tc>
          <w:tcPr>
            <w:tcW w:w="22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1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000000"/>
                <w:sz w:val="18"/>
                <w:szCs w:val="18"/>
                <w:u w:val="none"/>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000000"/>
                <w:sz w:val="18"/>
                <w:szCs w:val="18"/>
                <w:u w:val="none"/>
              </w:rPr>
            </w:pPr>
          </w:p>
        </w:tc>
        <w:tc>
          <w:tcPr>
            <w:tcW w:w="22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行长室</w:t>
            </w: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行长</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王华肖</w:t>
            </w:r>
          </w:p>
        </w:tc>
        <w:tc>
          <w:tcPr>
            <w:tcW w:w="2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550196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行长室</w:t>
            </w: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行长助理</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曾雨蒙</w:t>
            </w:r>
          </w:p>
        </w:tc>
        <w:tc>
          <w:tcPr>
            <w:tcW w:w="2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354835.53</w:t>
            </w:r>
          </w:p>
        </w:tc>
      </w:tr>
    </w:tbl>
    <w:p>
      <w:pPr>
        <w:keepNext w:val="0"/>
        <w:keepLines w:val="0"/>
        <w:pageBreakBefore w:val="0"/>
        <w:kinsoku/>
        <w:wordWrap/>
        <w:overflowPunct/>
        <w:topLinePunct w:val="0"/>
        <w:autoSpaceDE/>
        <w:autoSpaceDN/>
        <w:bidi w:val="0"/>
        <w:spacing w:line="560" w:lineRule="exact"/>
        <w:ind w:firstLine="602"/>
        <w:rPr>
          <w:rFonts w:hint="eastAsia" w:ascii="仿宋" w:hAnsi="仿宋" w:eastAsia="仿宋" w:cs="仿宋"/>
          <w:b/>
          <w:color w:val="auto"/>
          <w:sz w:val="30"/>
          <w:szCs w:val="30"/>
        </w:rPr>
      </w:pPr>
    </w:p>
    <w:p>
      <w:pPr>
        <w:keepNext w:val="0"/>
        <w:keepLines w:val="0"/>
        <w:pageBreakBefore w:val="0"/>
        <w:kinsoku/>
        <w:wordWrap/>
        <w:overflowPunct/>
        <w:topLinePunct w:val="0"/>
        <w:autoSpaceDE/>
        <w:autoSpaceDN/>
        <w:bidi w:val="0"/>
        <w:spacing w:line="560" w:lineRule="exact"/>
        <w:ind w:firstLine="602"/>
        <w:rPr>
          <w:rFonts w:hint="eastAsia" w:ascii="仿宋" w:hAnsi="仿宋" w:eastAsia="仿宋" w:cs="仿宋"/>
          <w:b/>
          <w:color w:val="auto"/>
          <w:sz w:val="30"/>
          <w:szCs w:val="30"/>
        </w:rPr>
      </w:pPr>
    </w:p>
    <w:p>
      <w:pPr>
        <w:keepNext w:val="0"/>
        <w:keepLines w:val="0"/>
        <w:pageBreakBefore w:val="0"/>
        <w:kinsoku/>
        <w:wordWrap/>
        <w:overflowPunct/>
        <w:topLinePunct w:val="0"/>
        <w:autoSpaceDE/>
        <w:autoSpaceDN/>
        <w:bidi w:val="0"/>
        <w:spacing w:line="560" w:lineRule="exact"/>
        <w:ind w:firstLine="602"/>
        <w:rPr>
          <w:rFonts w:hint="eastAsia" w:ascii="仿宋" w:hAnsi="仿宋" w:eastAsia="仿宋" w:cs="仿宋"/>
          <w:b/>
          <w:color w:val="auto"/>
          <w:sz w:val="30"/>
          <w:szCs w:val="30"/>
        </w:rPr>
      </w:pPr>
    </w:p>
    <w:p>
      <w:pPr>
        <w:keepNext w:val="0"/>
        <w:keepLines w:val="0"/>
        <w:pageBreakBefore w:val="0"/>
        <w:kinsoku/>
        <w:wordWrap/>
        <w:overflowPunct/>
        <w:topLinePunct w:val="0"/>
        <w:autoSpaceDE/>
        <w:autoSpaceDN/>
        <w:bidi w:val="0"/>
        <w:spacing w:line="560" w:lineRule="exact"/>
        <w:rPr>
          <w:rFonts w:hint="eastAsia" w:ascii="仿宋" w:hAnsi="仿宋" w:eastAsia="仿宋" w:cs="仿宋"/>
          <w:b/>
          <w:color w:val="auto"/>
          <w:sz w:val="30"/>
          <w:szCs w:val="30"/>
        </w:rPr>
      </w:pPr>
    </w:p>
    <w:p>
      <w:pPr>
        <w:keepNext w:val="0"/>
        <w:keepLines w:val="0"/>
        <w:pageBreakBefore w:val="0"/>
        <w:kinsoku/>
        <w:wordWrap/>
        <w:overflowPunct/>
        <w:topLinePunct w:val="0"/>
        <w:autoSpaceDE/>
        <w:autoSpaceDN/>
        <w:bidi w:val="0"/>
        <w:spacing w:line="560" w:lineRule="exact"/>
        <w:ind w:firstLine="602"/>
        <w:rPr>
          <w:rFonts w:hint="eastAsia" w:ascii="仿宋" w:hAnsi="仿宋" w:eastAsia="仿宋" w:cs="仿宋"/>
          <w:b/>
          <w:color w:val="auto"/>
          <w:sz w:val="30"/>
          <w:szCs w:val="30"/>
        </w:rPr>
      </w:pPr>
      <w:r>
        <w:rPr>
          <w:rFonts w:hint="eastAsia" w:ascii="仿宋" w:hAnsi="仿宋" w:eastAsia="仿宋" w:cs="仿宋"/>
          <w:b/>
          <w:color w:val="auto"/>
          <w:sz w:val="30"/>
          <w:szCs w:val="30"/>
        </w:rPr>
        <w:t>（二）“三会”召开情况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公司董事会积极履行工作职能，为公司发展提供决策保证，</w:t>
      </w:r>
      <w:r>
        <w:rPr>
          <w:rFonts w:hint="eastAsia" w:ascii="仿宋" w:hAnsi="仿宋" w:eastAsia="仿宋" w:cs="仿宋"/>
          <w:color w:val="auto"/>
          <w:kern w:val="2"/>
          <w:sz w:val="30"/>
          <w:szCs w:val="30"/>
          <w:highlight w:val="none"/>
          <w:lang w:eastAsia="zh-CN"/>
        </w:rPr>
        <w:t>报告期内，召开股东大会</w:t>
      </w: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lang w:eastAsia="zh-CN"/>
        </w:rPr>
        <w:t>次，审议通过议案</w:t>
      </w:r>
      <w:r>
        <w:rPr>
          <w:rFonts w:hint="eastAsia" w:ascii="仿宋" w:hAnsi="仿宋" w:eastAsia="仿宋" w:cs="仿宋"/>
          <w:color w:val="auto"/>
          <w:kern w:val="2"/>
          <w:sz w:val="30"/>
          <w:szCs w:val="30"/>
          <w:highlight w:val="none"/>
          <w:lang w:val="en-US" w:eastAsia="zh-CN"/>
        </w:rPr>
        <w:t>9</w:t>
      </w:r>
      <w:r>
        <w:rPr>
          <w:rFonts w:hint="eastAsia" w:ascii="仿宋" w:hAnsi="仿宋" w:eastAsia="仿宋" w:cs="仿宋"/>
          <w:color w:val="auto"/>
          <w:kern w:val="2"/>
          <w:sz w:val="30"/>
          <w:szCs w:val="30"/>
          <w:highlight w:val="none"/>
          <w:lang w:eastAsia="zh-CN"/>
        </w:rPr>
        <w:t>项，听取报告</w:t>
      </w:r>
      <w:r>
        <w:rPr>
          <w:rFonts w:hint="eastAsia" w:ascii="仿宋" w:hAnsi="仿宋" w:eastAsia="仿宋" w:cs="仿宋"/>
          <w:color w:val="auto"/>
          <w:kern w:val="2"/>
          <w:sz w:val="30"/>
          <w:szCs w:val="30"/>
          <w:highlight w:val="none"/>
          <w:lang w:val="en-US" w:eastAsia="zh-CN"/>
        </w:rPr>
        <w:t>3</w:t>
      </w:r>
      <w:r>
        <w:rPr>
          <w:rFonts w:hint="eastAsia" w:ascii="仿宋" w:hAnsi="仿宋" w:eastAsia="仿宋" w:cs="仿宋"/>
          <w:color w:val="auto"/>
          <w:kern w:val="2"/>
          <w:sz w:val="30"/>
          <w:szCs w:val="30"/>
          <w:highlight w:val="none"/>
          <w:lang w:eastAsia="zh-CN"/>
        </w:rPr>
        <w:t>项；召开董事会会议</w:t>
      </w:r>
      <w:r>
        <w:rPr>
          <w:rFonts w:hint="eastAsia" w:ascii="仿宋" w:hAnsi="仿宋" w:eastAsia="仿宋" w:cs="仿宋"/>
          <w:color w:val="auto"/>
          <w:kern w:val="2"/>
          <w:sz w:val="30"/>
          <w:szCs w:val="30"/>
          <w:highlight w:val="none"/>
          <w:lang w:val="en-US" w:eastAsia="zh-CN"/>
        </w:rPr>
        <w:t>5</w:t>
      </w:r>
      <w:r>
        <w:rPr>
          <w:rFonts w:hint="eastAsia" w:ascii="仿宋" w:hAnsi="仿宋" w:eastAsia="仿宋" w:cs="仿宋"/>
          <w:color w:val="auto"/>
          <w:kern w:val="2"/>
          <w:sz w:val="30"/>
          <w:szCs w:val="30"/>
          <w:highlight w:val="none"/>
          <w:lang w:eastAsia="zh-CN"/>
        </w:rPr>
        <w:t>次，</w:t>
      </w:r>
      <w:r>
        <w:rPr>
          <w:rFonts w:hint="eastAsia" w:ascii="仿宋" w:hAnsi="仿宋" w:eastAsia="仿宋" w:cs="仿宋"/>
          <w:color w:val="auto"/>
          <w:sz w:val="30"/>
          <w:szCs w:val="30"/>
          <w:highlight w:val="none"/>
        </w:rPr>
        <w:t>审议议案</w:t>
      </w:r>
      <w:r>
        <w:rPr>
          <w:rFonts w:hint="eastAsia" w:ascii="仿宋" w:hAnsi="仿宋" w:eastAsia="仿宋" w:cs="仿宋"/>
          <w:color w:val="auto"/>
          <w:sz w:val="30"/>
          <w:szCs w:val="30"/>
          <w:highlight w:val="none"/>
          <w:lang w:val="en-US" w:eastAsia="zh-CN"/>
        </w:rPr>
        <w:t>27</w:t>
      </w:r>
      <w:r>
        <w:rPr>
          <w:rFonts w:hint="eastAsia" w:ascii="仿宋" w:hAnsi="仿宋" w:eastAsia="仿宋" w:cs="仿宋"/>
          <w:color w:val="auto"/>
          <w:sz w:val="30"/>
          <w:szCs w:val="30"/>
          <w:highlight w:val="none"/>
        </w:rPr>
        <w:t>项，听取报告</w:t>
      </w:r>
      <w:r>
        <w:rPr>
          <w:rFonts w:hint="eastAsia" w:ascii="仿宋" w:hAnsi="仿宋" w:eastAsia="仿宋" w:cs="仿宋"/>
          <w:color w:val="auto"/>
          <w:sz w:val="30"/>
          <w:szCs w:val="30"/>
          <w:highlight w:val="none"/>
          <w:lang w:val="en-US" w:eastAsia="zh-CN"/>
        </w:rPr>
        <w:t>12</w:t>
      </w:r>
      <w:r>
        <w:rPr>
          <w:rFonts w:hint="eastAsia" w:ascii="仿宋" w:hAnsi="仿宋" w:eastAsia="仿宋" w:cs="仿宋"/>
          <w:color w:val="auto"/>
          <w:sz w:val="30"/>
          <w:szCs w:val="30"/>
          <w:highlight w:val="none"/>
        </w:rPr>
        <w:t>项；议</w:t>
      </w:r>
      <w:r>
        <w:rPr>
          <w:rFonts w:hint="eastAsia" w:ascii="仿宋" w:hAnsi="仿宋" w:eastAsia="仿宋" w:cs="仿宋"/>
          <w:color w:val="auto"/>
          <w:sz w:val="30"/>
          <w:szCs w:val="30"/>
        </w:rPr>
        <w:t>案内容涵盖全年经营目标、全面风险管理、财务预决算、信息披露、各项定期报告等年度常规事项以及人事任命等重要议题。审议的各项重大决策均已严格执行“三重一大”决策制度，均经党委会前置讨论研究同意后提交上会，保障对各项重大事项作出科学建议或决策。在董事会及其专门委员会闭会期间，股权董事通过审阅本行文件材料和监管机构发布的信息，了解本行总体经营管理情况、业务发展情况、最新监管政策、行业发展动向等，保障对本行重大事项作出科学决策</w:t>
      </w:r>
      <w:r>
        <w:rPr>
          <w:rFonts w:hint="eastAsia" w:ascii="仿宋" w:hAnsi="仿宋" w:eastAsia="仿宋" w:cs="仿宋"/>
          <w:color w:val="auto"/>
          <w:kern w:val="2"/>
          <w:sz w:val="30"/>
          <w:szCs w:val="30"/>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报告期内</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监事会共召开会议</w:t>
      </w:r>
      <w:r>
        <w:rPr>
          <w:rFonts w:hint="eastAsia" w:ascii="仿宋" w:hAnsi="仿宋" w:eastAsia="仿宋" w:cs="仿宋"/>
          <w:color w:val="auto"/>
          <w:kern w:val="2"/>
          <w:sz w:val="30"/>
          <w:szCs w:val="30"/>
          <w:highlight w:val="none"/>
          <w:lang w:val="en-US" w:eastAsia="zh-CN"/>
        </w:rPr>
        <w:t>4</w:t>
      </w:r>
      <w:r>
        <w:rPr>
          <w:rFonts w:hint="eastAsia" w:ascii="仿宋" w:hAnsi="仿宋" w:eastAsia="仿宋" w:cs="仿宋"/>
          <w:color w:val="auto"/>
          <w:kern w:val="2"/>
          <w:sz w:val="30"/>
          <w:szCs w:val="30"/>
          <w:highlight w:val="none"/>
        </w:rPr>
        <w:t>次，审议通过议案</w:t>
      </w:r>
      <w:r>
        <w:rPr>
          <w:rFonts w:hint="eastAsia" w:ascii="仿宋" w:hAnsi="仿宋" w:eastAsia="仿宋" w:cs="仿宋"/>
          <w:color w:val="auto"/>
          <w:kern w:val="2"/>
          <w:sz w:val="30"/>
          <w:szCs w:val="30"/>
          <w:highlight w:val="none"/>
          <w:lang w:val="en-US" w:eastAsia="zh-CN"/>
        </w:rPr>
        <w:t>6</w:t>
      </w:r>
      <w:r>
        <w:rPr>
          <w:rFonts w:hint="eastAsia" w:ascii="仿宋" w:hAnsi="仿宋" w:eastAsia="仿宋" w:cs="仿宋"/>
          <w:color w:val="auto"/>
          <w:kern w:val="2"/>
          <w:sz w:val="30"/>
          <w:szCs w:val="30"/>
          <w:highlight w:val="none"/>
        </w:rPr>
        <w:t>项</w:t>
      </w:r>
      <w:r>
        <w:rPr>
          <w:rFonts w:hint="eastAsia" w:ascii="仿宋" w:hAnsi="仿宋" w:eastAsia="仿宋" w:cs="仿宋"/>
          <w:color w:val="auto"/>
          <w:kern w:val="2"/>
          <w:sz w:val="30"/>
          <w:szCs w:val="30"/>
          <w:highlight w:val="none"/>
          <w:lang w:eastAsia="zh-CN"/>
        </w:rPr>
        <w:t>，听取报告</w:t>
      </w:r>
      <w:r>
        <w:rPr>
          <w:rFonts w:hint="eastAsia" w:ascii="仿宋" w:hAnsi="仿宋" w:eastAsia="仿宋" w:cs="仿宋"/>
          <w:color w:val="auto"/>
          <w:kern w:val="2"/>
          <w:sz w:val="30"/>
          <w:szCs w:val="30"/>
          <w:highlight w:val="none"/>
          <w:lang w:val="en-US" w:eastAsia="zh-CN"/>
        </w:rPr>
        <w:t>15项</w:t>
      </w:r>
      <w:r>
        <w:rPr>
          <w:rFonts w:hint="eastAsia" w:ascii="仿宋" w:hAnsi="仿宋" w:eastAsia="仿宋" w:cs="仿宋"/>
          <w:color w:val="auto"/>
          <w:kern w:val="2"/>
          <w:sz w:val="30"/>
          <w:szCs w:val="30"/>
          <w:highlight w:val="none"/>
        </w:rPr>
        <w:t>。监事会的召开和议事程序均符合法律法规</w:t>
      </w:r>
      <w:r>
        <w:rPr>
          <w:rFonts w:hint="eastAsia" w:ascii="仿宋" w:hAnsi="仿宋" w:eastAsia="仿宋" w:cs="仿宋"/>
          <w:color w:val="auto"/>
          <w:kern w:val="2"/>
          <w:sz w:val="30"/>
          <w:szCs w:val="30"/>
        </w:rPr>
        <w:t>、公司《章程》和《监事会议事规则》等规定，监事会成员针对各项议案发表了相应的意见或建议。同时，组织监事参加股东大会，列席董事会和经营层会议。</w:t>
      </w:r>
    </w:p>
    <w:p>
      <w:pPr>
        <w:keepNext w:val="0"/>
        <w:keepLines w:val="0"/>
        <w:pageBreakBefore w:val="0"/>
        <w:kinsoku/>
        <w:wordWrap/>
        <w:overflowPunct/>
        <w:topLinePunct w:val="0"/>
        <w:autoSpaceDE/>
        <w:autoSpaceDN/>
        <w:bidi w:val="0"/>
        <w:spacing w:line="560" w:lineRule="exact"/>
        <w:ind w:firstLine="602" w:firstLineChars="200"/>
        <w:rPr>
          <w:rFonts w:hint="eastAsia" w:ascii="仿宋_GB2312" w:hAnsi="宋体" w:eastAsia="仿宋_GB2312"/>
          <w:color w:val="auto"/>
          <w:sz w:val="32"/>
          <w:szCs w:val="32"/>
        </w:rPr>
      </w:pPr>
      <w:r>
        <w:rPr>
          <w:rFonts w:hint="eastAsia" w:ascii="宋体" w:hAnsi="宋体" w:cs="宋体"/>
          <w:b/>
          <w:color w:val="auto"/>
          <w:sz w:val="30"/>
          <w:szCs w:val="30"/>
        </w:rPr>
        <w:t>五、</w:t>
      </w:r>
      <w:r>
        <w:rPr>
          <w:rFonts w:hint="eastAsia" w:ascii="宋体" w:hAnsi="宋体" w:cs="宋体"/>
          <w:b/>
          <w:color w:val="auto"/>
          <w:sz w:val="30"/>
          <w:szCs w:val="30"/>
          <w:lang w:val="en-US" w:eastAsia="zh-CN"/>
        </w:rPr>
        <w:t>赣榆</w:t>
      </w:r>
      <w:r>
        <w:rPr>
          <w:rFonts w:hint="eastAsia" w:ascii="宋体" w:hAnsi="宋体" w:cs="宋体"/>
          <w:b/>
          <w:color w:val="auto"/>
          <w:sz w:val="30"/>
          <w:szCs w:val="30"/>
        </w:rPr>
        <w:t>兴福村镇银行</w:t>
      </w:r>
      <w:r>
        <w:rPr>
          <w:rFonts w:hint="eastAsia" w:ascii="宋体" w:hAnsi="宋体" w:cs="宋体"/>
          <w:b/>
          <w:color w:val="auto"/>
          <w:sz w:val="30"/>
          <w:szCs w:val="30"/>
          <w:lang w:eastAsia="zh-CN"/>
        </w:rPr>
        <w:t>202</w:t>
      </w:r>
      <w:r>
        <w:rPr>
          <w:rFonts w:hint="eastAsia" w:ascii="宋体" w:hAnsi="宋体" w:cs="宋体"/>
          <w:b/>
          <w:color w:val="auto"/>
          <w:sz w:val="30"/>
          <w:szCs w:val="30"/>
          <w:lang w:val="en-US" w:eastAsia="zh-CN"/>
        </w:rPr>
        <w:t>5</w:t>
      </w:r>
      <w:r>
        <w:rPr>
          <w:rFonts w:hint="eastAsia" w:ascii="宋体" w:hAnsi="宋体" w:cs="宋体"/>
          <w:b/>
          <w:color w:val="auto"/>
          <w:sz w:val="30"/>
          <w:szCs w:val="30"/>
        </w:rPr>
        <w:t>年度经营情况</w:t>
      </w:r>
    </w:p>
    <w:p>
      <w:pPr>
        <w:keepNext w:val="0"/>
        <w:keepLines w:val="0"/>
        <w:pageBreakBefore w:val="0"/>
        <w:kinsoku/>
        <w:wordWrap/>
        <w:overflowPunct/>
        <w:topLinePunct w:val="0"/>
        <w:autoSpaceDE/>
        <w:autoSpaceDN/>
        <w:bidi w:val="0"/>
        <w:spacing w:line="560" w:lineRule="exact"/>
        <w:ind w:firstLine="590" w:firstLineChars="196"/>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（一）报告期内整体经营情况分析</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outlineLvl w:val="9"/>
        <w:rPr>
          <w:rFonts w:hint="eastAsia" w:ascii="仿宋" w:hAnsi="仿宋" w:eastAsia="仿宋" w:cs="仿宋"/>
          <w:color w:val="auto"/>
          <w:sz w:val="30"/>
          <w:szCs w:val="30"/>
          <w:highlight w:val="none"/>
        </w:rPr>
      </w:pPr>
      <w:r>
        <w:rPr>
          <w:rFonts w:hint="eastAsia" w:ascii="仿宋" w:hAnsi="仿宋" w:eastAsia="仿宋" w:cs="仿宋"/>
          <w:color w:val="auto"/>
          <w:kern w:val="2"/>
          <w:sz w:val="30"/>
          <w:szCs w:val="30"/>
          <w:highlight w:val="none"/>
          <w:lang w:eastAsia="zh-CN"/>
        </w:rPr>
        <w:t>202</w:t>
      </w:r>
      <w:r>
        <w:rPr>
          <w:rFonts w:hint="eastAsia" w:ascii="仿宋" w:hAnsi="仿宋" w:eastAsia="仿宋" w:cs="仿宋"/>
          <w:color w:val="auto"/>
          <w:kern w:val="2"/>
          <w:sz w:val="30"/>
          <w:szCs w:val="30"/>
          <w:highlight w:val="none"/>
          <w:lang w:val="en-US" w:eastAsia="zh-CN"/>
        </w:rPr>
        <w:t>5</w:t>
      </w:r>
      <w:r>
        <w:rPr>
          <w:rFonts w:hint="eastAsia" w:ascii="仿宋" w:hAnsi="仿宋" w:eastAsia="仿宋" w:cs="仿宋"/>
          <w:color w:val="auto"/>
          <w:kern w:val="2"/>
          <w:sz w:val="30"/>
          <w:szCs w:val="30"/>
          <w:highlight w:val="none"/>
        </w:rPr>
        <w:t>年狠抓业务经营和管理，各项业务保持了</w:t>
      </w:r>
      <w:r>
        <w:rPr>
          <w:rFonts w:hint="eastAsia" w:ascii="仿宋" w:hAnsi="仿宋" w:eastAsia="仿宋" w:cs="仿宋"/>
          <w:color w:val="auto"/>
          <w:kern w:val="2"/>
          <w:sz w:val="30"/>
          <w:szCs w:val="30"/>
          <w:highlight w:val="none"/>
          <w:lang w:eastAsia="zh-CN"/>
        </w:rPr>
        <w:t>良好</w:t>
      </w:r>
      <w:r>
        <w:rPr>
          <w:rFonts w:hint="eastAsia" w:ascii="仿宋" w:hAnsi="仿宋" w:eastAsia="仿宋" w:cs="仿宋"/>
          <w:color w:val="auto"/>
          <w:kern w:val="2"/>
          <w:sz w:val="30"/>
          <w:szCs w:val="30"/>
          <w:highlight w:val="none"/>
        </w:rPr>
        <w:t>的发展势头，截至</w:t>
      </w:r>
      <w:r>
        <w:rPr>
          <w:rFonts w:hint="eastAsia" w:ascii="仿宋" w:hAnsi="仿宋" w:eastAsia="仿宋" w:cs="仿宋"/>
          <w:color w:val="auto"/>
          <w:kern w:val="2"/>
          <w:sz w:val="30"/>
          <w:szCs w:val="30"/>
          <w:highlight w:val="none"/>
          <w:lang w:eastAsia="zh-CN"/>
        </w:rPr>
        <w:t>202</w:t>
      </w:r>
      <w:r>
        <w:rPr>
          <w:rFonts w:hint="eastAsia" w:ascii="仿宋" w:hAnsi="仿宋" w:eastAsia="仿宋" w:cs="仿宋"/>
          <w:color w:val="auto"/>
          <w:kern w:val="2"/>
          <w:sz w:val="30"/>
          <w:szCs w:val="30"/>
          <w:highlight w:val="none"/>
          <w:lang w:val="en-US" w:eastAsia="zh-CN"/>
        </w:rPr>
        <w:t>5</w:t>
      </w:r>
      <w:r>
        <w:rPr>
          <w:rFonts w:hint="eastAsia" w:ascii="仿宋" w:hAnsi="仿宋" w:eastAsia="仿宋" w:cs="仿宋"/>
          <w:color w:val="auto"/>
          <w:kern w:val="2"/>
          <w:sz w:val="30"/>
          <w:szCs w:val="30"/>
          <w:highlight w:val="none"/>
        </w:rPr>
        <w:t>年12月31日，</w:t>
      </w:r>
      <w:r>
        <w:rPr>
          <w:rFonts w:hint="eastAsia" w:ascii="仿宋" w:hAnsi="仿宋" w:eastAsia="仿宋" w:cs="仿宋"/>
          <w:color w:val="auto"/>
          <w:sz w:val="30"/>
          <w:szCs w:val="30"/>
          <w:highlight w:val="none"/>
        </w:rPr>
        <w:t>贷款总额</w:t>
      </w:r>
      <w:r>
        <w:rPr>
          <w:rFonts w:hint="eastAsia" w:ascii="仿宋" w:hAnsi="仿宋" w:eastAsia="仿宋" w:cs="仿宋"/>
          <w:color w:val="auto"/>
          <w:sz w:val="30"/>
          <w:szCs w:val="30"/>
          <w:highlight w:val="none"/>
          <w:lang w:val="en-US" w:eastAsia="zh-CN"/>
        </w:rPr>
        <w:t>35016.12万</w:t>
      </w:r>
      <w:r>
        <w:rPr>
          <w:rFonts w:hint="eastAsia" w:ascii="仿宋" w:hAnsi="仿宋" w:eastAsia="仿宋" w:cs="仿宋"/>
          <w:color w:val="auto"/>
          <w:sz w:val="30"/>
          <w:szCs w:val="30"/>
          <w:highlight w:val="none"/>
        </w:rPr>
        <w:t>元，较年初</w:t>
      </w:r>
      <w:r>
        <w:rPr>
          <w:rFonts w:hint="eastAsia" w:ascii="仿宋" w:hAnsi="仿宋" w:eastAsia="仿宋" w:cs="仿宋"/>
          <w:color w:val="auto"/>
          <w:sz w:val="30"/>
          <w:szCs w:val="30"/>
          <w:highlight w:val="none"/>
          <w:lang w:val="en-US" w:eastAsia="zh-CN"/>
        </w:rPr>
        <w:t>增加11784.74万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增幅</w:t>
      </w:r>
      <w:r>
        <w:rPr>
          <w:rFonts w:hint="eastAsia" w:ascii="仿宋" w:hAnsi="仿宋" w:eastAsia="仿宋" w:cs="仿宋"/>
          <w:color w:val="auto"/>
          <w:sz w:val="30"/>
          <w:szCs w:val="30"/>
          <w:highlight w:val="none"/>
          <w:lang w:val="en-US" w:eastAsia="zh-CN"/>
        </w:rPr>
        <w:t>50.73</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存款总额</w:t>
      </w:r>
      <w:r>
        <w:rPr>
          <w:rFonts w:hint="eastAsia" w:ascii="仿宋" w:hAnsi="仿宋" w:eastAsia="仿宋" w:cs="仿宋"/>
          <w:color w:val="auto"/>
          <w:sz w:val="30"/>
          <w:szCs w:val="30"/>
          <w:highlight w:val="none"/>
          <w:lang w:val="en-US" w:eastAsia="zh-CN"/>
        </w:rPr>
        <w:t>34539.03万</w:t>
      </w:r>
      <w:r>
        <w:rPr>
          <w:rFonts w:hint="eastAsia" w:ascii="仿宋" w:hAnsi="仿宋" w:eastAsia="仿宋" w:cs="仿宋"/>
          <w:color w:val="auto"/>
          <w:sz w:val="30"/>
          <w:szCs w:val="30"/>
          <w:highlight w:val="none"/>
        </w:rPr>
        <w:t>元，较年初增加</w:t>
      </w:r>
      <w:r>
        <w:rPr>
          <w:rFonts w:hint="eastAsia" w:ascii="仿宋" w:hAnsi="仿宋" w:eastAsia="仿宋" w:cs="仿宋"/>
          <w:color w:val="auto"/>
          <w:sz w:val="30"/>
          <w:szCs w:val="30"/>
          <w:highlight w:val="none"/>
          <w:lang w:val="en-US" w:eastAsia="zh-CN"/>
        </w:rPr>
        <w:t>4338.25万</w:t>
      </w:r>
      <w:r>
        <w:rPr>
          <w:rFonts w:hint="eastAsia" w:ascii="仿宋" w:hAnsi="仿宋" w:eastAsia="仿宋" w:cs="仿宋"/>
          <w:color w:val="auto"/>
          <w:sz w:val="30"/>
          <w:szCs w:val="30"/>
          <w:highlight w:val="none"/>
        </w:rPr>
        <w:t>元，增幅</w:t>
      </w:r>
      <w:r>
        <w:rPr>
          <w:rFonts w:hint="eastAsia" w:ascii="仿宋" w:hAnsi="仿宋" w:eastAsia="仿宋" w:cs="仿宋"/>
          <w:color w:val="auto"/>
          <w:sz w:val="30"/>
          <w:szCs w:val="30"/>
          <w:highlight w:val="none"/>
          <w:lang w:val="en-US" w:eastAsia="zh-CN"/>
        </w:rPr>
        <w:t>14.36</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全年实现营业收入</w:t>
      </w:r>
      <w:r>
        <w:rPr>
          <w:rFonts w:hint="eastAsia" w:ascii="仿宋" w:hAnsi="仿宋" w:eastAsia="仿宋" w:cs="仿宋"/>
          <w:color w:val="auto"/>
          <w:sz w:val="30"/>
          <w:szCs w:val="30"/>
          <w:highlight w:val="none"/>
          <w:lang w:val="en-US" w:eastAsia="zh-CN"/>
        </w:rPr>
        <w:t>4463.98万</w:t>
      </w:r>
      <w:r>
        <w:rPr>
          <w:rFonts w:hint="eastAsia" w:ascii="仿宋" w:hAnsi="仿宋" w:eastAsia="仿宋" w:cs="仿宋"/>
          <w:color w:val="auto"/>
          <w:sz w:val="30"/>
          <w:szCs w:val="30"/>
          <w:highlight w:val="none"/>
        </w:rPr>
        <w:t>元，同比增长</w:t>
      </w:r>
      <w:r>
        <w:rPr>
          <w:rFonts w:hint="eastAsia" w:ascii="仿宋" w:hAnsi="仿宋" w:eastAsia="仿宋" w:cs="仿宋"/>
          <w:color w:val="auto"/>
          <w:sz w:val="30"/>
          <w:szCs w:val="30"/>
          <w:highlight w:val="none"/>
          <w:lang w:val="en-US" w:eastAsia="zh-CN"/>
        </w:rPr>
        <w:t>301.41</w:t>
      </w:r>
      <w:r>
        <w:rPr>
          <w:rFonts w:hint="eastAsia" w:ascii="仿宋" w:hAnsi="仿宋" w:eastAsia="仿宋" w:cs="仿宋"/>
          <w:color w:val="auto"/>
          <w:sz w:val="30"/>
          <w:szCs w:val="30"/>
          <w:highlight w:val="none"/>
        </w:rPr>
        <w:t>%；净利润达</w:t>
      </w:r>
      <w:r>
        <w:rPr>
          <w:rFonts w:hint="eastAsia" w:ascii="仿宋" w:hAnsi="仿宋" w:eastAsia="仿宋" w:cs="仿宋"/>
          <w:color w:val="auto"/>
          <w:sz w:val="30"/>
          <w:szCs w:val="30"/>
          <w:highlight w:val="none"/>
          <w:lang w:val="en-US" w:eastAsia="zh-CN"/>
        </w:rPr>
        <w:t>1956.18万</w:t>
      </w:r>
      <w:r>
        <w:rPr>
          <w:rFonts w:hint="eastAsia" w:ascii="仿宋" w:hAnsi="仿宋" w:eastAsia="仿宋" w:cs="仿宋"/>
          <w:color w:val="auto"/>
          <w:sz w:val="30"/>
          <w:szCs w:val="30"/>
          <w:highlight w:val="none"/>
        </w:rPr>
        <w:t>元，同比增长</w:t>
      </w:r>
      <w:r>
        <w:rPr>
          <w:rFonts w:hint="eastAsia" w:ascii="仿宋" w:hAnsi="仿宋" w:eastAsia="仿宋" w:cs="仿宋"/>
          <w:color w:val="auto"/>
          <w:sz w:val="30"/>
          <w:szCs w:val="30"/>
          <w:highlight w:val="none"/>
          <w:lang w:val="en-US" w:eastAsia="zh-CN"/>
        </w:rPr>
        <w:t>261.65</w:t>
      </w:r>
      <w:r>
        <w:rPr>
          <w:rFonts w:hint="eastAsia" w:ascii="仿宋" w:hAnsi="仿宋" w:eastAsia="仿宋" w:cs="仿宋"/>
          <w:color w:val="auto"/>
          <w:sz w:val="30"/>
          <w:szCs w:val="30"/>
          <w:highlight w:val="none"/>
        </w:rPr>
        <w:t>%。</w:t>
      </w:r>
    </w:p>
    <w:p>
      <w:pPr>
        <w:pStyle w:val="11"/>
        <w:keepNext w:val="0"/>
        <w:keepLines w:val="0"/>
        <w:pageBreakBefore w:val="0"/>
        <w:kinsoku/>
        <w:wordWrap/>
        <w:overflowPunct/>
        <w:topLinePunct w:val="0"/>
        <w:autoSpaceDE/>
        <w:autoSpaceDN/>
        <w:bidi w:val="0"/>
        <w:spacing w:line="560" w:lineRule="exact"/>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总资产规模达到45623.94</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kern w:val="2"/>
          <w:sz w:val="30"/>
          <w:szCs w:val="30"/>
          <w:highlight w:val="none"/>
          <w:lang w:val="en-US" w:eastAsia="zh-CN" w:bidi="ar-SA"/>
        </w:rPr>
        <w:t>较上年末增长11.50%，规模保持稳健增长；不良贷款率1.26%，较上年末下降0.7个百分点，信贷资产质量向好发展；拨备覆盖率355.32%，较上年末上升10.42个百分点，风险抵补能力整体充足；资本充足率34.76%，较上年末上升0.95个百分点，资本实力总体稳定。</w:t>
      </w:r>
    </w:p>
    <w:p>
      <w:pPr>
        <w:pStyle w:val="7"/>
        <w:keepNext w:val="0"/>
        <w:keepLines w:val="0"/>
        <w:pageBreakBefore w:val="0"/>
        <w:kinsoku/>
        <w:wordWrap/>
        <w:overflowPunct/>
        <w:topLinePunct w:val="0"/>
        <w:autoSpaceDE/>
        <w:autoSpaceDN/>
        <w:bidi w:val="0"/>
        <w:spacing w:before="0" w:beforeAutospacing="0" w:after="0" w:afterAutospacing="0" w:line="560" w:lineRule="exact"/>
        <w:ind w:firstLine="602" w:firstLineChars="200"/>
        <w:rPr>
          <w:rFonts w:hint="eastAsia" w:ascii="仿宋" w:hAnsi="仿宋" w:eastAsia="仿宋" w:cs="仿宋"/>
          <w:color w:val="auto"/>
          <w:sz w:val="30"/>
          <w:szCs w:val="30"/>
          <w:highlight w:val="yellow"/>
        </w:rPr>
      </w:pPr>
      <w:r>
        <w:rPr>
          <w:rFonts w:hint="eastAsia" w:ascii="仿宋" w:hAnsi="仿宋" w:eastAsia="仿宋" w:cs="仿宋"/>
          <w:b/>
          <w:color w:val="auto"/>
          <w:sz w:val="30"/>
          <w:szCs w:val="30"/>
        </w:rPr>
        <w:t>（二）“三会”决议的落实情况</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股东</w:t>
      </w:r>
      <w:r>
        <w:rPr>
          <w:rFonts w:hint="eastAsia" w:ascii="仿宋" w:hAnsi="仿宋" w:eastAsia="仿宋" w:cs="仿宋"/>
          <w:color w:val="auto"/>
          <w:sz w:val="30"/>
          <w:szCs w:val="30"/>
          <w:lang w:eastAsia="zh-CN"/>
        </w:rPr>
        <w:t>大</w:t>
      </w:r>
      <w:r>
        <w:rPr>
          <w:rFonts w:hint="eastAsia" w:ascii="仿宋" w:hAnsi="仿宋" w:eastAsia="仿宋" w:cs="仿宋"/>
          <w:color w:val="auto"/>
          <w:sz w:val="30"/>
          <w:szCs w:val="30"/>
        </w:rPr>
        <w:t>会、董事会、监事会的各项会议决议基本落实。</w:t>
      </w:r>
    </w:p>
    <w:p>
      <w:pPr>
        <w:keepNext w:val="0"/>
        <w:keepLines w:val="0"/>
        <w:pageBreakBefore w:val="0"/>
        <w:tabs>
          <w:tab w:val="left" w:pos="2880"/>
        </w:tabs>
        <w:kinsoku/>
        <w:wordWrap/>
        <w:overflowPunct/>
        <w:topLinePunct w:val="0"/>
        <w:autoSpaceDE/>
        <w:autoSpaceDN/>
        <w:bidi w:val="0"/>
        <w:spacing w:line="560" w:lineRule="exact"/>
        <w:ind w:firstLine="602" w:firstLineChars="200"/>
        <w:rPr>
          <w:rFonts w:hint="eastAsia" w:ascii="宋体" w:hAnsi="宋体" w:cs="宋体"/>
          <w:b/>
          <w:color w:val="auto"/>
          <w:sz w:val="30"/>
          <w:szCs w:val="30"/>
        </w:rPr>
      </w:pPr>
      <w:r>
        <w:rPr>
          <w:rFonts w:hint="eastAsia" w:ascii="宋体" w:hAnsi="宋体" w:cs="宋体"/>
          <w:b/>
          <w:color w:val="auto"/>
          <w:sz w:val="30"/>
          <w:szCs w:val="30"/>
        </w:rPr>
        <w:t>六、</w:t>
      </w:r>
      <w:r>
        <w:rPr>
          <w:rFonts w:hint="eastAsia" w:ascii="宋体" w:hAnsi="宋体" w:cs="宋体"/>
          <w:b/>
          <w:color w:val="auto"/>
          <w:sz w:val="30"/>
          <w:szCs w:val="30"/>
          <w:lang w:val="en-US" w:eastAsia="zh-CN"/>
        </w:rPr>
        <w:t>赣榆</w:t>
      </w:r>
      <w:r>
        <w:rPr>
          <w:rFonts w:hint="eastAsia" w:ascii="宋体" w:hAnsi="宋体" w:cs="宋体"/>
          <w:b/>
          <w:color w:val="auto"/>
          <w:sz w:val="30"/>
          <w:szCs w:val="30"/>
        </w:rPr>
        <w:t>兴福村镇银行</w:t>
      </w:r>
      <w:r>
        <w:rPr>
          <w:rFonts w:hint="eastAsia" w:ascii="宋体" w:hAnsi="宋体" w:cs="宋体"/>
          <w:b/>
          <w:color w:val="auto"/>
          <w:sz w:val="30"/>
          <w:szCs w:val="30"/>
          <w:lang w:eastAsia="zh-CN"/>
        </w:rPr>
        <w:t>202</w:t>
      </w:r>
      <w:r>
        <w:rPr>
          <w:rFonts w:hint="eastAsia" w:ascii="宋体" w:hAnsi="宋体" w:cs="宋体"/>
          <w:b/>
          <w:color w:val="auto"/>
          <w:sz w:val="30"/>
          <w:szCs w:val="30"/>
          <w:lang w:val="en-US" w:eastAsia="zh-CN"/>
        </w:rPr>
        <w:t>5</w:t>
      </w:r>
      <w:r>
        <w:rPr>
          <w:rFonts w:hint="eastAsia" w:ascii="宋体" w:hAnsi="宋体" w:cs="宋体"/>
          <w:b/>
          <w:color w:val="auto"/>
          <w:sz w:val="30"/>
          <w:szCs w:val="30"/>
        </w:rPr>
        <w:t>年度重大事项</w:t>
      </w:r>
    </w:p>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（一）重大诉讼、仲裁事项</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bCs/>
          <w:color w:val="auto"/>
          <w:sz w:val="30"/>
          <w:szCs w:val="30"/>
        </w:rPr>
      </w:pPr>
      <w:r>
        <w:rPr>
          <w:rFonts w:hint="eastAsia" w:ascii="仿宋" w:hAnsi="仿宋" w:eastAsia="仿宋" w:cs="仿宋"/>
          <w:color w:val="auto"/>
          <w:sz w:val="30"/>
          <w:szCs w:val="30"/>
        </w:rPr>
        <w:t>无重大诉讼、仲裁事项。</w:t>
      </w:r>
    </w:p>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（二）报告期内重大资产收购、出售或处置以及兼并事项</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sz w:val="30"/>
          <w:szCs w:val="30"/>
        </w:rPr>
        <w:t>无重大资产收购、出售或处置以及兼并事项</w:t>
      </w:r>
      <w:r>
        <w:rPr>
          <w:rFonts w:hint="eastAsia" w:ascii="仿宋" w:hAnsi="仿宋" w:eastAsia="仿宋" w:cs="仿宋"/>
          <w:sz w:val="30"/>
          <w:szCs w:val="30"/>
          <w:lang w:eastAsia="zh-CN"/>
        </w:rPr>
        <w:t>。</w:t>
      </w:r>
    </w:p>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（三）聘任会计师事务所</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报告期内为保证本行财务运行真实、规范，切实维护股东的利益，</w:t>
      </w:r>
      <w:r>
        <w:rPr>
          <w:rFonts w:hint="eastAsia" w:ascii="仿宋" w:hAnsi="仿宋" w:eastAsia="仿宋" w:cs="仿宋"/>
          <w:bCs/>
          <w:color w:val="auto"/>
          <w:sz w:val="30"/>
          <w:szCs w:val="30"/>
          <w:lang w:val="en-US" w:eastAsia="zh-CN"/>
        </w:rPr>
        <w:t>赣榆</w:t>
      </w:r>
      <w:r>
        <w:rPr>
          <w:rFonts w:hint="eastAsia" w:ascii="仿宋" w:hAnsi="仿宋" w:eastAsia="仿宋" w:cs="仿宋"/>
          <w:bCs/>
          <w:color w:val="auto"/>
          <w:sz w:val="30"/>
          <w:szCs w:val="30"/>
        </w:rPr>
        <w:t>兴福村镇银行聘请德勤华永会计师事务所</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特殊普通合伙</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作为本行的审计机构。</w:t>
      </w:r>
    </w:p>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（四）报告期内，</w:t>
      </w:r>
      <w:r>
        <w:rPr>
          <w:rFonts w:hint="eastAsia" w:ascii="仿宋" w:hAnsi="仿宋" w:eastAsia="仿宋" w:cs="仿宋"/>
          <w:b/>
          <w:color w:val="auto"/>
          <w:sz w:val="30"/>
          <w:szCs w:val="30"/>
          <w:lang w:val="en-US" w:eastAsia="zh-CN"/>
        </w:rPr>
        <w:t>赣榆</w:t>
      </w:r>
      <w:r>
        <w:rPr>
          <w:rFonts w:hint="eastAsia" w:ascii="仿宋" w:hAnsi="仿宋" w:eastAsia="仿宋" w:cs="仿宋"/>
          <w:b/>
          <w:color w:val="auto"/>
          <w:sz w:val="30"/>
          <w:szCs w:val="30"/>
        </w:rPr>
        <w:t>兴福村镇银行董事长及其他高级管理人员受到监管部门的处罚及变动情况</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 xml:space="preserve"> 报告期内未发生董事长及其他高级管理人员受到监管部门处罚的情况。</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Cs/>
          <w:color w:val="auto"/>
          <w:sz w:val="30"/>
          <w:szCs w:val="30"/>
          <w:lang w:eastAsia="zh-CN"/>
        </w:rPr>
      </w:pPr>
      <w:r>
        <w:rPr>
          <w:rFonts w:hint="eastAsia" w:ascii="仿宋" w:hAnsi="仿宋" w:eastAsia="仿宋" w:cs="仿宋"/>
          <w:bCs/>
          <w:color w:val="auto"/>
          <w:sz w:val="30"/>
          <w:szCs w:val="30"/>
        </w:rPr>
        <w:t>报告期内本行高级管理人员</w:t>
      </w:r>
      <w:r>
        <w:rPr>
          <w:rFonts w:hint="eastAsia" w:ascii="仿宋" w:hAnsi="仿宋" w:eastAsia="仿宋" w:cs="仿宋"/>
          <w:bCs/>
          <w:color w:val="auto"/>
          <w:sz w:val="30"/>
          <w:szCs w:val="30"/>
          <w:lang w:val="en-US" w:eastAsia="zh-CN"/>
        </w:rPr>
        <w:t>无</w:t>
      </w:r>
      <w:r>
        <w:rPr>
          <w:rFonts w:hint="eastAsia" w:ascii="仿宋" w:hAnsi="仿宋" w:eastAsia="仿宋" w:cs="仿宋"/>
          <w:bCs/>
          <w:color w:val="auto"/>
          <w:sz w:val="30"/>
          <w:szCs w:val="30"/>
        </w:rPr>
        <w:t>变动情况</w:t>
      </w:r>
      <w:r>
        <w:rPr>
          <w:rFonts w:hint="eastAsia" w:ascii="仿宋" w:hAnsi="仿宋" w:eastAsia="仿宋" w:cs="仿宋"/>
          <w:bCs/>
          <w:color w:val="auto"/>
          <w:sz w:val="30"/>
          <w:szCs w:val="30"/>
          <w:lang w:eastAsia="zh-CN"/>
        </w:rPr>
        <w:t>。</w:t>
      </w:r>
    </w:p>
    <w:p>
      <w:pPr>
        <w:keepNext w:val="0"/>
        <w:keepLines w:val="0"/>
        <w:pageBreakBefore w:val="0"/>
        <w:numPr>
          <w:ilvl w:val="0"/>
          <w:numId w:val="3"/>
        </w:numPr>
        <w:kinsoku/>
        <w:wordWrap/>
        <w:overflowPunct/>
        <w:topLinePunct w:val="0"/>
        <w:autoSpaceDE/>
        <w:autoSpaceDN/>
        <w:bidi w:val="0"/>
        <w:spacing w:line="560" w:lineRule="exact"/>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lang w:val="en-US" w:eastAsia="zh-CN"/>
        </w:rPr>
        <w:t>赣榆</w:t>
      </w:r>
      <w:r>
        <w:rPr>
          <w:rFonts w:hint="eastAsia" w:ascii="仿宋" w:hAnsi="仿宋" w:eastAsia="仿宋" w:cs="仿宋"/>
          <w:b/>
          <w:color w:val="auto"/>
          <w:sz w:val="30"/>
          <w:szCs w:val="30"/>
        </w:rPr>
        <w:t>兴福村镇银行和辖内支行营业地址变更情况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textAlignment w:val="auto"/>
        <w:rPr>
          <w:rFonts w:hint="eastAsia" w:ascii="仿宋" w:hAnsi="仿宋" w:eastAsia="仿宋" w:cs="仿宋"/>
          <w:bCs/>
          <w:color w:val="auto"/>
          <w:sz w:val="30"/>
          <w:szCs w:val="30"/>
          <w:lang w:val="en-US" w:eastAsia="zh-CN"/>
        </w:rPr>
      </w:pPr>
      <w:r>
        <w:rPr>
          <w:rFonts w:hint="eastAsia" w:ascii="仿宋" w:hAnsi="仿宋" w:eastAsia="仿宋" w:cs="仿宋"/>
          <w:b/>
          <w:color w:val="auto"/>
          <w:sz w:val="30"/>
          <w:szCs w:val="30"/>
          <w:highlight w:val="none"/>
        </w:rPr>
        <w:t xml:space="preserve">   </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为</w:t>
      </w:r>
      <w:r>
        <w:rPr>
          <w:rFonts w:hint="eastAsia" w:ascii="仿宋" w:hAnsi="仿宋" w:eastAsia="仿宋" w:cs="仿宋"/>
          <w:bCs/>
          <w:color w:val="auto"/>
          <w:sz w:val="30"/>
          <w:szCs w:val="30"/>
          <w:lang w:val="en-US" w:eastAsia="zh-CN"/>
        </w:rPr>
        <w:t>进一步营造良好的经营环境，促进业务发展，增强市场竞争力，总行营业部进行全面升级</w:t>
      </w:r>
      <w:r>
        <w:rPr>
          <w:rFonts w:hint="eastAsia" w:ascii="仿宋" w:hAnsi="仿宋" w:eastAsia="仿宋" w:cs="仿宋"/>
          <w:bCs/>
          <w:color w:val="auto"/>
          <w:sz w:val="30"/>
          <w:szCs w:val="30"/>
        </w:rPr>
        <w:t>改造</w:t>
      </w:r>
      <w:r>
        <w:rPr>
          <w:rFonts w:hint="eastAsia" w:ascii="仿宋" w:hAnsi="仿宋" w:eastAsia="仿宋" w:cs="仿宋"/>
          <w:bCs/>
          <w:color w:val="auto"/>
          <w:sz w:val="30"/>
          <w:szCs w:val="30"/>
          <w:lang w:val="en-US" w:eastAsia="zh-CN"/>
        </w:rPr>
        <w:t>，于2025年11月24日临时变更营业场所。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变更前地址：江苏省连云港市赣榆区青口镇文化路5-5号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firstLineChars="200"/>
        <w:textAlignment w:val="auto"/>
        <w:rPr>
          <w:rFonts w:hint="eastAsia"/>
        </w:rPr>
      </w:pPr>
      <w:r>
        <w:rPr>
          <w:rFonts w:hint="eastAsia" w:ascii="仿宋" w:hAnsi="仿宋" w:eastAsia="仿宋" w:cs="仿宋"/>
          <w:color w:val="auto"/>
          <w:sz w:val="30"/>
          <w:szCs w:val="30"/>
          <w:highlight w:val="none"/>
          <w:lang w:val="en-US" w:eastAsia="zh-CN"/>
        </w:rPr>
        <w:t>变更后地址：江苏省连云港市赣榆区青口镇文化路5-5号（原营业场所门外箱体式临时营业场所）</w:t>
      </w:r>
    </w:p>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（六）辖内分支机构升格、降格与合并、分设、重组情况</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报告期内未发生分支机构升格、降格与合并、分设、重组情况。</w:t>
      </w:r>
    </w:p>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（七）业务范围变更情况</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报告期内未发生业务范围变更情况。</w:t>
      </w:r>
    </w:p>
    <w:p>
      <w:pPr>
        <w:keepNext w:val="0"/>
        <w:keepLines w:val="0"/>
        <w:pageBreakBefore w:val="0"/>
        <w:numPr>
          <w:ilvl w:val="0"/>
          <w:numId w:val="4"/>
        </w:numPr>
        <w:kinsoku/>
        <w:wordWrap/>
        <w:overflowPunct/>
        <w:topLinePunct w:val="0"/>
        <w:autoSpaceDE/>
        <w:autoSpaceDN/>
        <w:bidi w:val="0"/>
        <w:spacing w:line="56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股权变更情况</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2024年10月11日，兴福村镇银行股份有限公司通过淘宝网司法拍卖网络平台以713.6万元竞得本行原股东江苏华都车城有限公司990万股权，上述股权占我行股本总额的9.9%。</w:t>
      </w:r>
    </w:p>
    <w:p>
      <w:pPr>
        <w:keepNext w:val="0"/>
        <w:keepLines w:val="0"/>
        <w:pageBreakBefore w:val="0"/>
        <w:kinsoku/>
        <w:wordWrap/>
        <w:overflowPunct/>
        <w:topLinePunct w:val="0"/>
        <w:autoSpaceDE/>
        <w:autoSpaceDN/>
        <w:bidi w:val="0"/>
        <w:spacing w:line="560" w:lineRule="exact"/>
        <w:ind w:firstLine="600" w:firstLineChars="200"/>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兴福村镇银行股份有限公司持有本行9010万股，占股90.10%，股权变更后将持股100%。股权变更须经监管批准后生效。</w:t>
      </w:r>
    </w:p>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（九）会计科目变更情况</w:t>
      </w:r>
    </w:p>
    <w:p>
      <w:pPr>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报告期内未发生</w:t>
      </w:r>
      <w:r>
        <w:rPr>
          <w:rFonts w:hint="eastAsia" w:ascii="仿宋" w:hAnsi="仿宋" w:eastAsia="仿宋" w:cs="仿宋"/>
          <w:color w:val="auto"/>
          <w:sz w:val="30"/>
          <w:szCs w:val="30"/>
          <w:highlight w:val="none"/>
          <w:lang w:val="en-US" w:eastAsia="zh-CN"/>
        </w:rPr>
        <w:t>会计科目</w:t>
      </w:r>
      <w:r>
        <w:rPr>
          <w:rFonts w:hint="eastAsia" w:ascii="仿宋" w:hAnsi="仿宋" w:eastAsia="仿宋" w:cs="仿宋"/>
          <w:color w:val="auto"/>
          <w:sz w:val="30"/>
          <w:szCs w:val="30"/>
          <w:highlight w:val="none"/>
        </w:rPr>
        <w:t>变更情况。</w:t>
      </w:r>
    </w:p>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（十）重大的关联交易</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highlight w:val="none"/>
        </w:rPr>
        <w:t>报告期内</w:t>
      </w:r>
      <w:r>
        <w:rPr>
          <w:rFonts w:hint="eastAsia" w:ascii="仿宋" w:hAnsi="仿宋" w:eastAsia="仿宋" w:cs="仿宋"/>
          <w:color w:val="auto"/>
          <w:sz w:val="30"/>
          <w:szCs w:val="30"/>
        </w:rPr>
        <w:t>本行未发生重大关联交易。</w:t>
      </w:r>
    </w:p>
    <w:p>
      <w:pPr>
        <w:keepNext w:val="0"/>
        <w:keepLines w:val="0"/>
        <w:pageBreakBefore w:val="0"/>
        <w:kinsoku/>
        <w:wordWrap/>
        <w:overflowPunct/>
        <w:topLinePunct w:val="0"/>
        <w:autoSpaceDE/>
        <w:autoSpaceDN/>
        <w:bidi w:val="0"/>
        <w:spacing w:line="560" w:lineRule="exact"/>
        <w:ind w:firstLine="602" w:firstLineChars="200"/>
        <w:rPr>
          <w:rFonts w:hint="eastAsia" w:ascii="宋体" w:hAnsi="宋体" w:cs="宋体"/>
          <w:b/>
          <w:color w:val="auto"/>
          <w:sz w:val="30"/>
          <w:szCs w:val="30"/>
        </w:rPr>
      </w:pPr>
      <w:r>
        <w:rPr>
          <w:rFonts w:hint="eastAsia" w:ascii="宋体" w:hAnsi="宋体" w:cs="宋体"/>
          <w:b/>
          <w:color w:val="auto"/>
          <w:sz w:val="30"/>
          <w:szCs w:val="30"/>
        </w:rPr>
        <w:t>七、</w:t>
      </w:r>
      <w:r>
        <w:rPr>
          <w:rFonts w:hint="eastAsia" w:ascii="宋体" w:hAnsi="宋体" w:cs="宋体"/>
          <w:b/>
          <w:color w:val="auto"/>
          <w:sz w:val="30"/>
          <w:szCs w:val="30"/>
          <w:lang w:val="en-US" w:eastAsia="zh-CN"/>
        </w:rPr>
        <w:t>赣榆</w:t>
      </w:r>
      <w:r>
        <w:rPr>
          <w:rFonts w:hint="eastAsia" w:ascii="宋体" w:hAnsi="宋体" w:cs="宋体"/>
          <w:b/>
          <w:color w:val="auto"/>
          <w:sz w:val="30"/>
          <w:szCs w:val="30"/>
        </w:rPr>
        <w:t>兴福村镇银行资本充足率情况</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202</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年末资本充足率达到</w:t>
      </w:r>
      <w:r>
        <w:rPr>
          <w:rFonts w:hint="eastAsia" w:ascii="仿宋" w:hAnsi="仿宋" w:eastAsia="仿宋" w:cs="仿宋"/>
          <w:color w:val="auto"/>
          <w:sz w:val="30"/>
          <w:szCs w:val="30"/>
          <w:highlight w:val="none"/>
          <w:lang w:val="en-US" w:eastAsia="zh-CN"/>
        </w:rPr>
        <w:t>34.76</w:t>
      </w:r>
      <w:r>
        <w:rPr>
          <w:rFonts w:hint="eastAsia" w:ascii="仿宋" w:hAnsi="仿宋" w:eastAsia="仿宋" w:cs="仿宋"/>
          <w:color w:val="auto"/>
          <w:sz w:val="30"/>
          <w:szCs w:val="30"/>
          <w:highlight w:val="none"/>
        </w:rPr>
        <w:t xml:space="preserve"> %，核心一级资本充足率</w:t>
      </w:r>
      <w:r>
        <w:rPr>
          <w:rFonts w:hint="eastAsia" w:ascii="仿宋" w:hAnsi="仿宋" w:eastAsia="仿宋" w:cs="仿宋"/>
          <w:color w:val="auto"/>
          <w:sz w:val="30"/>
          <w:szCs w:val="30"/>
          <w:highlight w:val="none"/>
          <w:lang w:val="en-US" w:eastAsia="zh-CN"/>
        </w:rPr>
        <w:t>30.78</w:t>
      </w:r>
      <w:r>
        <w:rPr>
          <w:rFonts w:hint="eastAsia" w:ascii="仿宋" w:hAnsi="仿宋" w:eastAsia="仿宋" w:cs="仿宋"/>
          <w:color w:val="auto"/>
          <w:sz w:val="30"/>
          <w:szCs w:val="30"/>
          <w:highlight w:val="none"/>
        </w:rPr>
        <w:t>%</w:t>
      </w:r>
    </w:p>
    <w:p>
      <w:pPr>
        <w:keepNext w:val="0"/>
        <w:keepLines w:val="0"/>
        <w:pageBreakBefore w:val="0"/>
        <w:kinsoku/>
        <w:wordWrap/>
        <w:overflowPunct/>
        <w:topLinePunct w:val="0"/>
        <w:autoSpaceDE/>
        <w:autoSpaceDN/>
        <w:bidi w:val="0"/>
        <w:spacing w:line="560" w:lineRule="exact"/>
        <w:ind w:firstLine="602" w:firstLineChars="200"/>
        <w:rPr>
          <w:rFonts w:hint="eastAsia" w:ascii="黑体" w:hAnsi="宋体" w:eastAsia="黑体"/>
          <w:b/>
          <w:color w:val="auto"/>
          <w:sz w:val="32"/>
          <w:szCs w:val="32"/>
        </w:rPr>
      </w:pPr>
      <w:r>
        <w:rPr>
          <w:rFonts w:hint="eastAsia" w:ascii="宋体" w:hAnsi="宋体" w:cs="宋体"/>
          <w:b/>
          <w:color w:val="auto"/>
          <w:sz w:val="30"/>
          <w:szCs w:val="30"/>
          <w:lang w:val="en-US" w:eastAsia="zh-CN"/>
        </w:rPr>
        <w:t>八</w:t>
      </w:r>
      <w:r>
        <w:rPr>
          <w:rFonts w:hint="eastAsia" w:ascii="宋体" w:hAnsi="宋体" w:cs="宋体"/>
          <w:b/>
          <w:color w:val="auto"/>
          <w:sz w:val="30"/>
          <w:szCs w:val="30"/>
        </w:rPr>
        <w:t>、</w:t>
      </w:r>
      <w:r>
        <w:rPr>
          <w:rFonts w:hint="eastAsia" w:ascii="宋体" w:hAnsi="宋体" w:cs="宋体"/>
          <w:b/>
          <w:color w:val="auto"/>
          <w:sz w:val="30"/>
          <w:szCs w:val="30"/>
          <w:lang w:val="en-US" w:eastAsia="zh-CN"/>
        </w:rPr>
        <w:t>赣榆</w:t>
      </w:r>
      <w:r>
        <w:rPr>
          <w:rFonts w:hint="eastAsia" w:ascii="宋体" w:hAnsi="宋体" w:cs="宋体"/>
          <w:b/>
          <w:color w:val="auto"/>
          <w:sz w:val="30"/>
          <w:szCs w:val="30"/>
        </w:rPr>
        <w:t>兴福村镇银行经营风险情况</w:t>
      </w:r>
    </w:p>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color w:val="auto"/>
          <w:sz w:val="30"/>
          <w:szCs w:val="30"/>
        </w:rPr>
      </w:pPr>
      <w:r>
        <w:rPr>
          <w:rFonts w:hint="eastAsia" w:ascii="仿宋" w:hAnsi="仿宋" w:eastAsia="仿宋" w:cs="仿宋"/>
          <w:b/>
          <w:color w:val="auto"/>
          <w:sz w:val="30"/>
          <w:szCs w:val="30"/>
        </w:rPr>
        <w:t>（一）各类风险防范措施及效果</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促自主合规，组织开展“三真三防”合规案防警示教育培训活动，配套合规专项激励，开展制度解读培训及监管处罚案例解析培训，梳理合规短板问题清单，开展监管反馈问题分析，牵头开展制度梳理与权限梳理工作，严格落实违规问责和不良贷款责任认定。</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在信贷业务拓展中注重风险管理，一是在贷款投向上分散风险，行业上不能过于集中；二是在借款对象上，不能垒大户；三是根据实际情况同当地经济发展紧密联系起来，发展有特色的金融产品，把资金投向特色农业、个体经济发展中去，支持区域经济发展，在小额贷款、短期贷款方面做足文章。</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规范贷款操作程序与会计处理，完善档案管理，从源头防范风险。在贷款申请、贷前调查、贷款审批、办理担保或抵质押、贷款发放、贷后检查监督等环节中，注意各种书面资料的收集和整理，保证资料的真实性、完整性、合法合规性。在会计处理上严格遵守国家的财务会计制度、税收法规及上级监管部门的财务管理办法，认真执行内控制度，依据各级监管部门制定下达的各项规章制度办理各项业务，以铁的制度规范操作行为，提高制度的执行力，增强员工风险意识，降低差错率。同时做好事前监控、事中控制、事后监督，提高工作效率和服务质量，促进各项业务快速发展。</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4、树立科学发展观理念，注重风险管理和案件防控工作，注重业务发展质量；同时，加强对员工的培训，全面</w:t>
      </w:r>
      <w:r>
        <w:rPr>
          <w:rFonts w:hint="eastAsia" w:ascii="仿宋" w:hAnsi="仿宋" w:eastAsia="仿宋" w:cs="仿宋"/>
          <w:color w:val="auto"/>
          <w:sz w:val="30"/>
          <w:szCs w:val="30"/>
          <w:lang w:eastAsia="zh-CN"/>
        </w:rPr>
        <w:t>增强</w:t>
      </w:r>
      <w:r>
        <w:rPr>
          <w:rFonts w:hint="eastAsia" w:ascii="仿宋" w:hAnsi="仿宋" w:eastAsia="仿宋" w:cs="仿宋"/>
          <w:color w:val="auto"/>
          <w:sz w:val="30"/>
          <w:szCs w:val="30"/>
        </w:rPr>
        <w:t>员工法律意识和职业修养，提高员工遵纪守法、合规操作的自觉性，主动防范风险，杜绝违规行为发生。</w:t>
      </w:r>
    </w:p>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（二）</w:t>
      </w:r>
      <w:r>
        <w:rPr>
          <w:rFonts w:hint="eastAsia" w:ascii="仿宋" w:hAnsi="仿宋" w:eastAsia="仿宋" w:cs="仿宋"/>
          <w:b/>
          <w:bCs/>
          <w:color w:val="auto"/>
          <w:sz w:val="30"/>
          <w:szCs w:val="30"/>
        </w:rPr>
        <w:t>信贷风险状况</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根据监管部门对于信贷风险的制度指引及本行信贷政策，本行严格落实贷前风险防控措施，在诚信度、经营实力和经营管理经验、担保条件等方面，明确各类产品及客户的准入条件；严格按银保监会规定测算客户流动资金需求。</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本行成立贷审会，负责审查信贷业务的合法性、合规性等。同时，根据银保监会“三个办法一个指引”要求，本行专门设置了贷款发放审核部门和专职发放审核岗位，加强贷款发放审核，对超过受托支付起点金额的贷款资金严格按要求进行受托支付。</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强化贷后管理，对已经获批投放的贷款加强管理，严格按照贷后管理要求搜集借款人的关键信息资料，及时了解掌握借款人生产经营情况；实时监控贷款资金流向，确保贷款资金不被挪用；对贷款项目及担保情况定时或不定时进行现场检查，及时发现借款人存在的问题并制定风险防范措施。</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严格控制风险监管的核心指标，本行对存贷比、拨备覆盖率、单一客户集中度、行业集中度、上下游集中度、以及公司互相提供担保集中度</w:t>
      </w:r>
      <w:r>
        <w:rPr>
          <w:rFonts w:hint="eastAsia" w:ascii="仿宋" w:hAnsi="仿宋" w:eastAsia="仿宋" w:cs="仿宋"/>
          <w:color w:val="auto"/>
          <w:sz w:val="30"/>
          <w:szCs w:val="30"/>
          <w:lang w:eastAsia="zh-CN"/>
        </w:rPr>
        <w:t>等</w:t>
      </w:r>
      <w:r>
        <w:rPr>
          <w:rFonts w:hint="eastAsia" w:ascii="仿宋" w:hAnsi="仿宋" w:eastAsia="仿宋" w:cs="仿宋"/>
          <w:color w:val="auto"/>
          <w:sz w:val="30"/>
          <w:szCs w:val="30"/>
        </w:rPr>
        <w:t>做出了具体的、严格的指标要求。同时本行制定了具体的数据汇总以及控制流程，以确保在任何时点，本行的各项核心指标将同时符合监管及本行的内部要求。</w:t>
      </w:r>
    </w:p>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（三）</w:t>
      </w:r>
      <w:r>
        <w:rPr>
          <w:rFonts w:hint="eastAsia" w:ascii="仿宋" w:hAnsi="仿宋" w:eastAsia="仿宋" w:cs="仿宋"/>
          <w:b/>
          <w:bCs/>
          <w:color w:val="auto"/>
          <w:sz w:val="30"/>
          <w:szCs w:val="30"/>
          <w:highlight w:val="none"/>
        </w:rPr>
        <w:t>流动性风险状况</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rPr>
        <w:t>截至</w:t>
      </w:r>
      <w:r>
        <w:rPr>
          <w:rFonts w:hint="eastAsia" w:ascii="仿宋" w:hAnsi="仿宋" w:eastAsia="仿宋" w:cs="仿宋"/>
          <w:color w:val="auto"/>
          <w:sz w:val="30"/>
          <w:szCs w:val="30"/>
          <w:highlight w:val="none"/>
          <w:lang w:eastAsia="zh-CN"/>
        </w:rPr>
        <w:t>202</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年末，</w:t>
      </w:r>
      <w:r>
        <w:rPr>
          <w:rFonts w:hint="eastAsia" w:ascii="仿宋" w:hAnsi="仿宋" w:eastAsia="仿宋" w:cs="仿宋"/>
          <w:color w:val="auto"/>
          <w:sz w:val="30"/>
          <w:szCs w:val="30"/>
          <w:highlight w:val="none"/>
          <w:lang w:eastAsia="zh-CN"/>
        </w:rPr>
        <w:t>本行</w:t>
      </w:r>
      <w:r>
        <w:rPr>
          <w:rFonts w:hint="eastAsia" w:ascii="仿宋" w:hAnsi="仿宋" w:eastAsia="仿宋" w:cs="仿宋"/>
          <w:color w:val="auto"/>
          <w:sz w:val="30"/>
          <w:szCs w:val="30"/>
          <w:highlight w:val="none"/>
        </w:rPr>
        <w:t>流动性比例为</w:t>
      </w:r>
      <w:r>
        <w:rPr>
          <w:rFonts w:hint="eastAsia" w:ascii="仿宋" w:hAnsi="仿宋" w:eastAsia="仿宋" w:cs="仿宋"/>
          <w:color w:val="auto"/>
          <w:sz w:val="30"/>
          <w:szCs w:val="30"/>
          <w:highlight w:val="none"/>
          <w:lang w:val="en-US" w:eastAsia="zh-CN"/>
        </w:rPr>
        <w:t>166.90</w:t>
      </w:r>
      <w:r>
        <w:rPr>
          <w:rFonts w:hint="eastAsia" w:ascii="仿宋" w:hAnsi="仿宋" w:eastAsia="仿宋" w:cs="仿宋"/>
          <w:color w:val="auto"/>
          <w:sz w:val="30"/>
          <w:szCs w:val="30"/>
          <w:highlight w:val="none"/>
        </w:rPr>
        <w:t>%、存贷比</w:t>
      </w:r>
      <w:r>
        <w:rPr>
          <w:rFonts w:hint="eastAsia" w:ascii="仿宋" w:hAnsi="仿宋" w:eastAsia="仿宋" w:cs="仿宋"/>
          <w:color w:val="auto"/>
          <w:sz w:val="30"/>
          <w:szCs w:val="30"/>
          <w:highlight w:val="none"/>
          <w:lang w:val="en-US" w:eastAsia="zh-CN"/>
        </w:rPr>
        <w:t>101.38</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拨备覆盖率为</w:t>
      </w:r>
      <w:r>
        <w:rPr>
          <w:rFonts w:hint="eastAsia" w:ascii="仿宋" w:hAnsi="仿宋" w:eastAsia="仿宋" w:cs="仿宋"/>
          <w:color w:val="auto"/>
          <w:sz w:val="30"/>
          <w:szCs w:val="30"/>
          <w:highlight w:val="none"/>
          <w:lang w:val="en-US" w:eastAsia="zh-CN"/>
        </w:rPr>
        <w:t>355.32</w:t>
      </w:r>
      <w:r>
        <w:rPr>
          <w:rFonts w:hint="eastAsia" w:ascii="仿宋" w:hAnsi="仿宋" w:eastAsia="仿宋" w:cs="仿宋"/>
          <w:color w:val="auto"/>
          <w:sz w:val="30"/>
          <w:szCs w:val="30"/>
          <w:highlight w:val="none"/>
        </w:rPr>
        <w:t>%，贷款拨备率为</w:t>
      </w:r>
      <w:r>
        <w:rPr>
          <w:rFonts w:hint="eastAsia" w:ascii="仿宋" w:hAnsi="仿宋" w:eastAsia="仿宋" w:cs="仿宋"/>
          <w:color w:val="auto"/>
          <w:sz w:val="30"/>
          <w:szCs w:val="30"/>
          <w:highlight w:val="none"/>
          <w:lang w:val="en-US" w:eastAsia="zh-CN"/>
        </w:rPr>
        <w:t>4.49</w:t>
      </w:r>
      <w:r>
        <w:rPr>
          <w:rFonts w:hint="eastAsia" w:ascii="仿宋" w:hAnsi="仿宋" w:eastAsia="仿宋" w:cs="仿宋"/>
          <w:color w:val="auto"/>
          <w:sz w:val="30"/>
          <w:szCs w:val="30"/>
          <w:highlight w:val="none"/>
        </w:rPr>
        <w:t>%。</w:t>
      </w:r>
    </w:p>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（四）</w:t>
      </w:r>
      <w:r>
        <w:rPr>
          <w:rFonts w:hint="eastAsia" w:ascii="仿宋" w:hAnsi="仿宋" w:eastAsia="仿宋" w:cs="仿宋"/>
          <w:b/>
          <w:bCs/>
          <w:color w:val="auto"/>
          <w:sz w:val="30"/>
          <w:szCs w:val="30"/>
          <w:highlight w:val="none"/>
        </w:rPr>
        <w:t>市场风险状况</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一是按照利率风险实施限额管理要求，制定和执行各类、各级限额的内部审批程序和操作规程，根据业务性质、规模、复杂程度和风险承受能力设定及定期更新限额；二是持续对市场风险实施有效识别、计量、控制和监测；三是对市场风险有重大影响的情形制定应急处理方案，视情况对应急处理方案进行测试和更新。</w:t>
      </w:r>
    </w:p>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（五）</w:t>
      </w:r>
      <w:r>
        <w:rPr>
          <w:rFonts w:hint="eastAsia" w:ascii="仿宋" w:hAnsi="仿宋" w:eastAsia="仿宋" w:cs="仿宋"/>
          <w:b/>
          <w:bCs/>
          <w:color w:val="auto"/>
          <w:sz w:val="30"/>
          <w:szCs w:val="30"/>
        </w:rPr>
        <w:t>操作风险状况</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rPr>
        <w:t>为确保本行各项业务的正常运作，及时发现和纠正业务经营中存在的问题，防范操作风险和事故的发生，促进各项业务依法合规经营。本行一方面不断完善各项管理制度，进一步健全我行信息科技、安全保卫、支付结算、风险管理、人员培训等内控方面的建设，为依法合规经营、防范案件发生、坚守风险底线和防范操作风险奠定坚实的基础。另一方面强化合规检查，每月对营业网点进行一次常规检查，涵盖现金、重空、财务等方面；本年度还组织了自助设备、反洗钱、财务、信贷等多次专项检查，并对检查中发现的问题进行深入分析，总结产生问题的症结，</w:t>
      </w:r>
      <w:r>
        <w:rPr>
          <w:rFonts w:hint="eastAsia" w:ascii="仿宋" w:hAnsi="仿宋" w:eastAsia="仿宋" w:cs="仿宋"/>
          <w:color w:val="auto"/>
          <w:sz w:val="30"/>
          <w:szCs w:val="30"/>
          <w:highlight w:val="none"/>
        </w:rPr>
        <w:t>提出整改措施，落实整改责任人。确保各项制度建立健全，执行到位，各项业务操作合法合规。</w:t>
      </w:r>
    </w:p>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（六）</w:t>
      </w:r>
      <w:r>
        <w:rPr>
          <w:rFonts w:hint="eastAsia" w:ascii="仿宋" w:hAnsi="仿宋" w:eastAsia="仿宋" w:cs="仿宋"/>
          <w:b/>
          <w:bCs/>
          <w:color w:val="auto"/>
          <w:sz w:val="30"/>
          <w:szCs w:val="30"/>
          <w:highlight w:val="none"/>
        </w:rPr>
        <w:t>声誉风险情况</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报告期内，本行无重大声誉风险发生。</w:t>
      </w:r>
    </w:p>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九</w:t>
      </w:r>
      <w:r>
        <w:rPr>
          <w:rFonts w:hint="eastAsia" w:ascii="仿宋" w:hAnsi="仿宋" w:eastAsia="仿宋" w:cs="仿宋"/>
          <w:b/>
          <w:bCs/>
          <w:color w:val="auto"/>
          <w:sz w:val="30"/>
          <w:szCs w:val="30"/>
        </w:rPr>
        <w:t>、支农支小业务开展情况</w:t>
      </w:r>
    </w:p>
    <w:tbl>
      <w:tblPr>
        <w:tblStyle w:val="8"/>
        <w:tblW w:w="0" w:type="auto"/>
        <w:jc w:val="center"/>
        <w:tblLayout w:type="fixed"/>
        <w:tblCellMar>
          <w:top w:w="0" w:type="dxa"/>
          <w:left w:w="108" w:type="dxa"/>
          <w:bottom w:w="0" w:type="dxa"/>
          <w:right w:w="108" w:type="dxa"/>
        </w:tblCellMar>
      </w:tblPr>
      <w:tblGrid>
        <w:gridCol w:w="4276"/>
        <w:gridCol w:w="2369"/>
      </w:tblGrid>
      <w:tr>
        <w:tblPrEx>
          <w:tblCellMar>
            <w:top w:w="0" w:type="dxa"/>
            <w:left w:w="108" w:type="dxa"/>
            <w:bottom w:w="0" w:type="dxa"/>
            <w:right w:w="108" w:type="dxa"/>
          </w:tblCellMar>
        </w:tblPrEx>
        <w:trPr>
          <w:trHeight w:val="689" w:hRule="atLeast"/>
          <w:jc w:val="center"/>
        </w:trPr>
        <w:tc>
          <w:tcPr>
            <w:tcW w:w="4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农户和小微</w:t>
            </w:r>
            <w:r>
              <w:rPr>
                <w:rFonts w:hint="eastAsia" w:ascii="仿宋" w:hAnsi="仿宋" w:eastAsia="仿宋" w:cs="仿宋"/>
                <w:color w:val="auto"/>
                <w:sz w:val="24"/>
                <w:szCs w:val="24"/>
                <w:lang w:eastAsia="zh-CN"/>
              </w:rPr>
              <w:t>企业</w:t>
            </w:r>
            <w:r>
              <w:rPr>
                <w:rFonts w:hint="eastAsia" w:ascii="仿宋" w:hAnsi="仿宋" w:eastAsia="仿宋" w:cs="仿宋"/>
                <w:color w:val="auto"/>
                <w:sz w:val="24"/>
                <w:szCs w:val="24"/>
              </w:rPr>
              <w:t>贷款</w:t>
            </w:r>
            <w:r>
              <w:rPr>
                <w:rFonts w:hint="eastAsia" w:ascii="仿宋" w:hAnsi="仿宋" w:eastAsia="仿宋" w:cs="仿宋"/>
                <w:color w:val="auto"/>
                <w:sz w:val="24"/>
                <w:szCs w:val="24"/>
                <w:lang w:eastAsia="zh-CN"/>
              </w:rPr>
              <w:t>余额</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33120.16万元</w:t>
            </w:r>
          </w:p>
        </w:tc>
      </w:tr>
      <w:tr>
        <w:tblPrEx>
          <w:tblCellMar>
            <w:top w:w="0" w:type="dxa"/>
            <w:left w:w="108" w:type="dxa"/>
            <w:bottom w:w="0" w:type="dxa"/>
            <w:right w:w="108" w:type="dxa"/>
          </w:tblCellMar>
        </w:tblPrEx>
        <w:trPr>
          <w:trHeight w:val="664" w:hRule="atLeast"/>
          <w:jc w:val="center"/>
        </w:trPr>
        <w:tc>
          <w:tcPr>
            <w:tcW w:w="4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农户和小微</w:t>
            </w:r>
            <w:r>
              <w:rPr>
                <w:rFonts w:hint="eastAsia" w:ascii="仿宋" w:hAnsi="仿宋" w:eastAsia="仿宋" w:cs="仿宋"/>
                <w:color w:val="auto"/>
                <w:sz w:val="24"/>
                <w:szCs w:val="24"/>
                <w:lang w:eastAsia="zh-CN"/>
              </w:rPr>
              <w:t>企业</w:t>
            </w:r>
            <w:r>
              <w:rPr>
                <w:rFonts w:hint="eastAsia" w:ascii="仿宋" w:hAnsi="仿宋" w:eastAsia="仿宋" w:cs="仿宋"/>
                <w:color w:val="auto"/>
                <w:sz w:val="24"/>
                <w:szCs w:val="24"/>
              </w:rPr>
              <w:t>贷款合计占比</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94.59%</w:t>
            </w:r>
          </w:p>
        </w:tc>
      </w:tr>
      <w:tr>
        <w:tblPrEx>
          <w:tblCellMar>
            <w:top w:w="0" w:type="dxa"/>
            <w:left w:w="108" w:type="dxa"/>
            <w:bottom w:w="0" w:type="dxa"/>
            <w:right w:w="108" w:type="dxa"/>
          </w:tblCellMar>
        </w:tblPrEx>
        <w:trPr>
          <w:trHeight w:val="664" w:hRule="atLeast"/>
          <w:jc w:val="center"/>
        </w:trPr>
        <w:tc>
          <w:tcPr>
            <w:tcW w:w="4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累计发放农户和小微企业客户数</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1407户</w:t>
            </w:r>
          </w:p>
        </w:tc>
      </w:tr>
    </w:tbl>
    <w:p>
      <w:pPr>
        <w:keepNext w:val="0"/>
        <w:keepLines w:val="0"/>
        <w:pageBreakBefore w:val="0"/>
        <w:kinsoku/>
        <w:wordWrap/>
        <w:overflowPunct/>
        <w:topLinePunct w:val="0"/>
        <w:autoSpaceDE/>
        <w:autoSpaceDN/>
        <w:bidi w:val="0"/>
        <w:spacing w:line="56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十、</w:t>
      </w:r>
      <w:r>
        <w:rPr>
          <w:rFonts w:hint="eastAsia" w:ascii="仿宋" w:hAnsi="仿宋" w:eastAsia="仿宋" w:cs="仿宋"/>
          <w:b/>
          <w:bCs/>
          <w:color w:val="auto"/>
          <w:sz w:val="30"/>
          <w:szCs w:val="30"/>
        </w:rPr>
        <w:t>关联交易情况</w:t>
      </w:r>
    </w:p>
    <w:p>
      <w:pPr>
        <w:keepNext w:val="0"/>
        <w:keepLines w:val="0"/>
        <w:pageBreakBefore w:val="0"/>
        <w:numPr>
          <w:ilvl w:val="0"/>
          <w:numId w:val="0"/>
        </w:numPr>
        <w:kinsoku/>
        <w:wordWrap/>
        <w:overflowPunct/>
        <w:topLinePunct w:val="0"/>
        <w:autoSpaceDE/>
        <w:autoSpaceDN/>
        <w:bidi w:val="0"/>
        <w:spacing w:line="560" w:lineRule="exact"/>
        <w:ind w:firstLine="600" w:firstLineChars="200"/>
        <w:rPr>
          <w:rFonts w:hint="default" w:ascii="仿宋" w:hAnsi="仿宋" w:eastAsia="仿宋" w:cs="仿宋"/>
          <w:color w:val="auto"/>
          <w:sz w:val="30"/>
          <w:szCs w:val="30"/>
          <w:highlight w:val="none"/>
          <w:lang w:val="en-US" w:eastAsia="zh-CN"/>
        </w:rPr>
      </w:pPr>
      <w:r>
        <w:rPr>
          <w:rFonts w:hint="default" w:ascii="仿宋" w:hAnsi="仿宋" w:eastAsia="仿宋" w:cs="仿宋"/>
          <w:color w:val="auto"/>
          <w:sz w:val="30"/>
          <w:szCs w:val="30"/>
          <w:highlight w:val="none"/>
          <w:lang w:val="en-US" w:eastAsia="zh-CN"/>
        </w:rPr>
        <w:t>截至2025年12月31日，</w:t>
      </w:r>
      <w:r>
        <w:rPr>
          <w:rFonts w:hint="default" w:ascii="仿宋" w:hAnsi="仿宋" w:eastAsia="仿宋" w:cs="仿宋"/>
          <w:sz w:val="30"/>
          <w:szCs w:val="30"/>
          <w:highlight w:val="none"/>
          <w:lang w:val="en-US" w:eastAsia="zh-CN"/>
        </w:rPr>
        <w:t>本行存放常熟银行余额为</w:t>
      </w:r>
      <w:r>
        <w:rPr>
          <w:rFonts w:hint="eastAsia" w:ascii="仿宋" w:hAnsi="仿宋" w:eastAsia="仿宋" w:cs="仿宋"/>
          <w:sz w:val="30"/>
          <w:szCs w:val="30"/>
          <w:highlight w:val="none"/>
          <w:lang w:val="en-US" w:eastAsia="zh-CN"/>
        </w:rPr>
        <w:t>10727万</w:t>
      </w:r>
      <w:r>
        <w:rPr>
          <w:rFonts w:hint="default" w:ascii="仿宋" w:hAnsi="仿宋" w:eastAsia="仿宋" w:cs="仿宋"/>
          <w:sz w:val="30"/>
          <w:szCs w:val="30"/>
          <w:highlight w:val="none"/>
          <w:lang w:val="en-US" w:eastAsia="zh-CN"/>
        </w:rPr>
        <w:t>元</w:t>
      </w:r>
      <w:r>
        <w:rPr>
          <w:rFonts w:hint="default"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lang w:val="en-US" w:eastAsia="zh-CN"/>
        </w:rPr>
        <w:t>报告期内，本行未与关联方发生授信类关联交易。</w:t>
      </w:r>
    </w:p>
    <w:p>
      <w:pPr>
        <w:keepNext w:val="0"/>
        <w:keepLines w:val="0"/>
        <w:pageBreakBefore w:val="0"/>
        <w:numPr>
          <w:ilvl w:val="0"/>
          <w:numId w:val="0"/>
        </w:numPr>
        <w:kinsoku/>
        <w:wordWrap/>
        <w:overflowPunct/>
        <w:topLinePunct w:val="0"/>
        <w:autoSpaceDE/>
        <w:autoSpaceDN/>
        <w:bidi w:val="0"/>
        <w:spacing w:before="312" w:beforeLines="100" w:line="560" w:lineRule="exact"/>
        <w:ind w:leftChars="200" w:firstLine="321" w:firstLineChars="1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十一、</w:t>
      </w:r>
      <w:r>
        <w:rPr>
          <w:rFonts w:hint="eastAsia" w:ascii="仿宋_GB2312" w:hAnsi="仿宋_GB2312" w:eastAsia="仿宋_GB2312" w:cs="仿宋_GB2312"/>
          <w:b/>
          <w:color w:val="auto"/>
          <w:sz w:val="32"/>
          <w:szCs w:val="32"/>
          <w:highlight w:val="none"/>
        </w:rPr>
        <w:t>消费者权益保护工作情况</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2025年，我行坚持以客户为中心的服务理念，深入贯彻落实监管部门关于金融消费者权益保护的各项政策要求，将消费者权益保护工作全面融入公司治理、企业文化及业务流程之中，持续健全工作机制、强化责任落实、优化服务流程、提升履职能力，推动全行消保工作实现高质量发展。全年未发生重大负面舆情事件，未发生客户金融信息泄露、损毁或丢失情况，整体工作成效显著，客户满意度稳步提升。</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（二）强化组织管理，健全消保工作机制</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我行高度重视消费者权益保护工作，持续完善组织架构和管理机制，确保各项工作有序推进、责任落实到位。</w:t>
      </w:r>
      <w:r>
        <w:rPr>
          <w:rFonts w:hint="eastAsia" w:ascii="仿宋" w:hAnsi="仿宋" w:eastAsia="仿宋" w:cs="仿宋"/>
          <w:sz w:val="30"/>
          <w:szCs w:val="30"/>
          <w:highlight w:val="none"/>
        </w:rPr>
        <w:t>本行在营业网点醒目位置公布本行消费者权益保护热线、受理金融消费者投诉的方式、投诉处理机制及流程、保护金融消费者权益承诺书等事项，并放置投诉箱、投诉处理登记簿、建立金融消费者投诉处理</w:t>
      </w:r>
      <w:r>
        <w:rPr>
          <w:rFonts w:hint="eastAsia" w:ascii="仿宋" w:hAnsi="仿宋" w:eastAsia="仿宋" w:cs="仿宋"/>
          <w:sz w:val="30"/>
          <w:szCs w:val="30"/>
          <w:highlight w:val="none"/>
          <w:lang w:eastAsia="zh-CN"/>
        </w:rPr>
        <w:t>工作台账</w:t>
      </w:r>
      <w:r>
        <w:rPr>
          <w:rFonts w:hint="eastAsia" w:ascii="仿宋" w:hAnsi="仿宋" w:eastAsia="仿宋" w:cs="仿宋"/>
          <w:sz w:val="30"/>
          <w:szCs w:val="30"/>
          <w:highlight w:val="none"/>
        </w:rPr>
        <w:t>。同时，本行还积极向客户收集意见和建议，并结合本行实际情况进行改进。</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（三）深化宣传教育与培训，提升全员消保意识</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我行坚持“教育先行、预防为主”的工作方针，持续加强内外部宣传教育与培训，不断提升员工专业素养和客户金融素养。对内，充分利用“小燕学堂”线上学习平台，组织开展消费者权益保护专题培训，实现员工全覆盖；针对一线业务骨干及机构管理人员，组织开展线下专题培训，重点围绕反电信网络诈骗、客户信息保护、投诉处理技巧等内容进行系统讲解和案例分析，切实提升员工在营销推介和客户服务中的合规意识与实操能力。同时，将消保考核结果纳入机构年度绩效评价体系，强化结果运用，推动形成“人人重视消保、人人参与消保”的良好氛围。对外，严格落实监管机构关于教育宣传工作的部署要求，结合“3·15国际消费者权益日”“金融知识普及月”等重要节点，组织开展形式多样、内容丰富的集中宣教活动。全年配合监管部门完成多项主题宣传任务，聚焦防范非法集资、识别金融诈骗、保护个人信息安全等热点问题，通过网点厅堂宣讲、社区走访、线上直播、短视频推送等多种方式，向广大消费者普及金融知识，提升社会公众的风险防范意识和自我保护能力。通过持续宣教，进一步增强了客户对我行的信任感和认同感，树立了我行负责任、有温度的良好品牌形象。</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（四）优化投诉处理机制，提升客户诉求响应效率</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我行始终将客户诉求处理作为消保工作的关键环节，不断优化流程、强化督导、提升质效，努力做到“件件有落实、事事有回音”。严格遵循监管关于投诉处理时限、告知义务、档案管理等要求，规范各环节操作流程，确保记录完整、处理合规。2025年，我行共受理客户投诉</w:t>
      </w:r>
      <w:r>
        <w:rPr>
          <w:rFonts w:hint="eastAsia" w:ascii="仿宋" w:hAnsi="仿宋" w:eastAsia="仿宋" w:cs="仿宋"/>
          <w:b w:val="0"/>
          <w:bCs w:val="0"/>
          <w:color w:val="auto"/>
          <w:sz w:val="30"/>
          <w:szCs w:val="30"/>
          <w:lang w:val="en-US" w:eastAsia="zh-CN"/>
        </w:rPr>
        <w:t>2</w:t>
      </w:r>
      <w:r>
        <w:rPr>
          <w:rFonts w:hint="eastAsia" w:ascii="仿宋" w:hAnsi="仿宋" w:eastAsia="仿宋" w:cs="仿宋"/>
          <w:b w:val="0"/>
          <w:bCs w:val="0"/>
          <w:color w:val="auto"/>
          <w:sz w:val="30"/>
          <w:szCs w:val="30"/>
          <w:lang w:eastAsia="zh-CN"/>
        </w:rPr>
        <w:t>笔，办结率达100%，妥善解决率达100%，未发生因处理不当引发的重复投诉或监管通报情况。同时，注重加强投诉数据分析与溯源整改，定期开展多维度分析，识别高频问题、高发业务和重点区域，及时向相关条线和机构反馈，推动从制度、流程、系统等方面进行源头治理，切实提升客户体验。</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（五）严守信息安全底线，强化客户信息保护</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我行高度重视客户个人信息安全，始终坚持依法合规原则，严格落实客户信息采集、使用、存储和传输全过程管理要求。将消保审查嵌入新产品、新业务上线前的合规审查流程，以及对外发布的宣传文本、合同协议等材料的审核环节，重点排查是否存在误导宣传、格式条款不公平、信息收集过度等问题，坚决杜绝歧视性或违反公序良俗的表述，确保业务合规、客户知情。在柜面服务、电子银行、信贷审批等各类业务场景中，均明确告知客户信息采集的目的、方式和范围，并在取得客户明确授权后方可收集使用。严格执行信息分级管理、权限控制、日志审计等内控制度，强化技术防护手段，防范数据泄露风险。同时，持续加强员工保密教育，定期组织信息安全警示教育，对任何违反客户信息保护规定的行为，一经查实，依法依规严肃处理。2025年，我行未发生任何客户金融信息泄露、损毁或丢失事件，客户信息安全得到有效保障。</w:t>
      </w:r>
    </w:p>
    <w:p>
      <w:pPr>
        <w:keepNext w:val="0"/>
        <w:keepLines w:val="0"/>
        <w:pageBreakBefore w:val="0"/>
        <w:kinsoku/>
        <w:wordWrap/>
        <w:overflowPunct/>
        <w:topLinePunct w:val="0"/>
        <w:autoSpaceDE/>
        <w:autoSpaceDN/>
        <w:bidi w:val="0"/>
        <w:spacing w:line="560" w:lineRule="exact"/>
        <w:ind w:firstLine="602" w:firstLineChars="200"/>
        <w:rPr>
          <w:rFonts w:hint="eastAsia" w:ascii="宋体" w:hAnsi="宋体" w:cs="宋体"/>
          <w:b/>
          <w:color w:val="auto"/>
          <w:sz w:val="30"/>
          <w:szCs w:val="30"/>
        </w:rPr>
      </w:pPr>
      <w:r>
        <w:rPr>
          <w:rFonts w:hint="eastAsia" w:ascii="宋体" w:hAnsi="宋体" w:cs="宋体"/>
          <w:b/>
          <w:color w:val="auto"/>
          <w:sz w:val="30"/>
          <w:szCs w:val="30"/>
        </w:rPr>
        <w:t>十二、</w:t>
      </w:r>
      <w:r>
        <w:rPr>
          <w:rFonts w:hint="eastAsia" w:ascii="宋体" w:hAnsi="宋体" w:cs="宋体"/>
          <w:b/>
          <w:color w:val="auto"/>
          <w:sz w:val="30"/>
          <w:szCs w:val="30"/>
          <w:lang w:val="en-US" w:eastAsia="zh-CN"/>
        </w:rPr>
        <w:t>赣榆</w:t>
      </w:r>
      <w:r>
        <w:rPr>
          <w:rFonts w:hint="eastAsia" w:ascii="宋体" w:hAnsi="宋体" w:cs="宋体"/>
          <w:b/>
          <w:color w:val="auto"/>
          <w:sz w:val="30"/>
          <w:szCs w:val="30"/>
        </w:rPr>
        <w:t>兴福村镇银行</w:t>
      </w:r>
      <w:r>
        <w:rPr>
          <w:rFonts w:hint="eastAsia" w:ascii="宋体" w:hAnsi="宋体" w:cs="宋体"/>
          <w:b/>
          <w:color w:val="auto"/>
          <w:sz w:val="30"/>
          <w:szCs w:val="30"/>
          <w:lang w:eastAsia="zh-CN"/>
        </w:rPr>
        <w:t>202</w:t>
      </w:r>
      <w:r>
        <w:rPr>
          <w:rFonts w:hint="eastAsia" w:ascii="宋体" w:hAnsi="宋体" w:cs="宋体"/>
          <w:b/>
          <w:color w:val="auto"/>
          <w:sz w:val="30"/>
          <w:szCs w:val="30"/>
          <w:lang w:val="en-US" w:eastAsia="zh-CN"/>
        </w:rPr>
        <w:t>5</w:t>
      </w:r>
      <w:r>
        <w:rPr>
          <w:rFonts w:hint="eastAsia" w:ascii="宋体" w:hAnsi="宋体" w:cs="宋体"/>
          <w:b/>
          <w:color w:val="auto"/>
          <w:sz w:val="30"/>
          <w:szCs w:val="30"/>
        </w:rPr>
        <w:t>年度信息披露表</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江苏赣榆</w:t>
      </w:r>
      <w:r>
        <w:rPr>
          <w:rFonts w:hint="eastAsia" w:ascii="仿宋" w:hAnsi="仿宋" w:eastAsia="仿宋" w:cs="仿宋"/>
          <w:color w:val="auto"/>
          <w:sz w:val="30"/>
          <w:szCs w:val="30"/>
        </w:rPr>
        <w:t>兴福村镇银行</w:t>
      </w:r>
      <w:r>
        <w:rPr>
          <w:rFonts w:hint="eastAsia" w:ascii="仿宋" w:hAnsi="仿宋" w:eastAsia="仿宋" w:cs="仿宋"/>
          <w:color w:val="auto"/>
          <w:sz w:val="30"/>
          <w:szCs w:val="30"/>
          <w:lang w:val="en-US" w:eastAsia="zh-CN"/>
        </w:rPr>
        <w:t>股份</w:t>
      </w:r>
      <w:r>
        <w:rPr>
          <w:rFonts w:hint="eastAsia" w:ascii="仿宋" w:hAnsi="仿宋" w:eastAsia="仿宋" w:cs="仿宋"/>
          <w:color w:val="auto"/>
          <w:sz w:val="30"/>
          <w:szCs w:val="30"/>
        </w:rPr>
        <w:t>有限公司</w:t>
      </w: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年度信息披露表</w:t>
      </w:r>
    </w:p>
    <w:p>
      <w:pPr>
        <w:keepNext w:val="0"/>
        <w:keepLines w:val="0"/>
        <w:pageBreakBefore w:val="0"/>
        <w:kinsoku/>
        <w:wordWrap/>
        <w:overflowPunct/>
        <w:topLinePunct w:val="0"/>
        <w:autoSpaceDE/>
        <w:autoSpaceDN/>
        <w:bidi w:val="0"/>
        <w:spacing w:line="560" w:lineRule="exact"/>
        <w:ind w:firstLine="4788" w:firstLineChars="1710"/>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4"/>
        </w:rPr>
        <w:t>单位：人、%、亿元、次</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624"/>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6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60" w:lineRule="exact"/>
              <w:rPr>
                <w:rFonts w:hint="eastAsia" w:ascii="仿宋" w:hAnsi="仿宋" w:eastAsia="仿宋" w:cs="仿宋"/>
                <w:color w:val="auto"/>
                <w:szCs w:val="21"/>
              </w:rPr>
            </w:pPr>
            <w:r>
              <w:rPr>
                <w:rFonts w:hint="eastAsia" w:ascii="仿宋" w:hAnsi="仿宋" w:eastAsia="仿宋" w:cs="仿宋"/>
                <w:color w:val="auto"/>
                <w:szCs w:val="21"/>
              </w:rPr>
              <mc:AlternateContent>
                <mc:Choice Requires="wpg">
                  <w:drawing>
                    <wp:anchor distT="0" distB="0" distL="114300" distR="114300" simplePos="0" relativeHeight="251659264" behindDoc="0" locked="0" layoutInCell="1" allowOverlap="1">
                      <wp:simplePos x="0" y="0"/>
                      <wp:positionH relativeFrom="column">
                        <wp:posOffset>-66040</wp:posOffset>
                      </wp:positionH>
                      <wp:positionV relativeFrom="paragraph">
                        <wp:posOffset>38100</wp:posOffset>
                      </wp:positionV>
                      <wp:extent cx="1647825" cy="575310"/>
                      <wp:effectExtent l="1270" t="4445" r="8255" b="10795"/>
                      <wp:wrapNone/>
                      <wp:docPr id="6" name="组合 6"/>
                      <wp:cNvGraphicFramePr/>
                      <a:graphic xmlns:a="http://schemas.openxmlformats.org/drawingml/2006/main">
                        <a:graphicData uri="http://schemas.microsoft.com/office/word/2010/wordprocessingGroup">
                          <wpg:wgp>
                            <wpg:cNvGrpSpPr/>
                            <wpg:grpSpPr>
                              <a:xfrm>
                                <a:off x="0" y="0"/>
                                <a:ext cx="1647825" cy="575310"/>
                                <a:chOff x="0" y="48"/>
                                <a:chExt cx="2283" cy="1020"/>
                              </a:xfrm>
                            </wpg:grpSpPr>
                            <wps:wsp>
                              <wps:cNvPr id="1" name="直接连接符 1"/>
                              <wps:cNvSpPr/>
                              <wps:spPr>
                                <a:xfrm>
                                  <a:off x="0" y="48"/>
                                  <a:ext cx="2283" cy="1020"/>
                                </a:xfrm>
                                <a:prstGeom prst="line">
                                  <a:avLst/>
                                </a:prstGeom>
                                <a:ln w="6350" cap="flat" cmpd="sng">
                                  <a:solidFill>
                                    <a:srgbClr val="000000"/>
                                  </a:solidFill>
                                  <a:prstDash val="solid"/>
                                  <a:headEnd type="none" w="med" len="med"/>
                                  <a:tailEnd type="none" w="med" len="med"/>
                                </a:ln>
                              </wps:spPr>
                              <wps:bodyPr upright="1"/>
                            </wps:wsp>
                            <wps:wsp>
                              <wps:cNvPr id="2" name="文本框 2"/>
                              <wps:cNvSpPr txBox="1"/>
                              <wps:spPr>
                                <a:xfrm>
                                  <a:off x="1107" y="105"/>
                                  <a:ext cx="252" cy="262"/>
                                </a:xfrm>
                                <a:prstGeom prst="rect">
                                  <a:avLst/>
                                </a:prstGeom>
                                <a:noFill/>
                                <a:ln>
                                  <a:noFill/>
                                </a:ln>
                              </wps:spPr>
                              <wps:txbx>
                                <w:txbxContent>
                                  <w:p>
                                    <w:pPr>
                                      <w:snapToGrid w:val="0"/>
                                    </w:pPr>
                                    <w:r>
                                      <w:rPr>
                                        <w:rFonts w:hint="eastAsia"/>
                                      </w:rPr>
                                      <w:t>时</w:t>
                                    </w:r>
                                  </w:p>
                                </w:txbxContent>
                              </wps:txbx>
                              <wps:bodyPr lIns="0" tIns="0" rIns="0" bIns="0" upright="1"/>
                            </wps:wsp>
                            <wps:wsp>
                              <wps:cNvPr id="3" name="文本框 3"/>
                              <wps:cNvSpPr txBox="1"/>
                              <wps:spPr>
                                <a:xfrm>
                                  <a:off x="1719" y="378"/>
                                  <a:ext cx="253" cy="263"/>
                                </a:xfrm>
                                <a:prstGeom prst="rect">
                                  <a:avLst/>
                                </a:prstGeom>
                                <a:noFill/>
                                <a:ln>
                                  <a:noFill/>
                                </a:ln>
                              </wps:spPr>
                              <wps:txbx>
                                <w:txbxContent>
                                  <w:p>
                                    <w:pPr>
                                      <w:snapToGrid w:val="0"/>
                                    </w:pPr>
                                    <w:r>
                                      <w:rPr>
                                        <w:rFonts w:hint="eastAsia"/>
                                      </w:rPr>
                                      <w:t>期</w:t>
                                    </w:r>
                                  </w:p>
                                </w:txbxContent>
                              </wps:txbx>
                              <wps:bodyPr lIns="0" tIns="0" rIns="0" bIns="0" upright="1"/>
                            </wps:wsp>
                            <wps:wsp>
                              <wps:cNvPr id="4" name="文本框 4"/>
                              <wps:cNvSpPr txBox="1"/>
                              <wps:spPr>
                                <a:xfrm>
                                  <a:off x="284" y="397"/>
                                  <a:ext cx="253" cy="262"/>
                                </a:xfrm>
                                <a:prstGeom prst="rect">
                                  <a:avLst/>
                                </a:prstGeom>
                                <a:noFill/>
                                <a:ln>
                                  <a:noFill/>
                                </a:ln>
                              </wps:spPr>
                              <wps:txbx>
                                <w:txbxContent>
                                  <w:p>
                                    <w:pPr>
                                      <w:snapToGrid w:val="0"/>
                                    </w:pPr>
                                    <w:r>
                                      <w:rPr>
                                        <w:rFonts w:hint="eastAsia"/>
                                      </w:rPr>
                                      <w:t>指</w:t>
                                    </w:r>
                                  </w:p>
                                </w:txbxContent>
                              </wps:txbx>
                              <wps:bodyPr lIns="0" tIns="0" rIns="0" bIns="0" upright="1"/>
                            </wps:wsp>
                            <wps:wsp>
                              <wps:cNvPr id="5" name="文本框 5"/>
                              <wps:cNvSpPr txBox="1"/>
                              <wps:spPr>
                                <a:xfrm>
                                  <a:off x="853" y="651"/>
                                  <a:ext cx="252" cy="262"/>
                                </a:xfrm>
                                <a:prstGeom prst="rect">
                                  <a:avLst/>
                                </a:prstGeom>
                                <a:noFill/>
                                <a:ln>
                                  <a:noFill/>
                                </a:ln>
                              </wps:spPr>
                              <wps:txbx>
                                <w:txbxContent>
                                  <w:p>
                                    <w:pPr>
                                      <w:snapToGrid w:val="0"/>
                                    </w:pPr>
                                    <w:r>
                                      <w:rPr>
                                        <w:rFonts w:hint="eastAsia"/>
                                      </w:rPr>
                                      <w:t>标</w:t>
                                    </w:r>
                                  </w:p>
                                </w:txbxContent>
                              </wps:txbx>
                              <wps:bodyPr lIns="0" tIns="0" rIns="0" bIns="0" upright="1"/>
                            </wps:wsp>
                          </wpg:wgp>
                        </a:graphicData>
                      </a:graphic>
                    </wp:anchor>
                  </w:drawing>
                </mc:Choice>
                <mc:Fallback>
                  <w:pict>
                    <v:group id="_x0000_s1026" o:spid="_x0000_s1026" o:spt="203" style="position:absolute;left:0pt;margin-left:-5.2pt;margin-top:3pt;height:45.3pt;width:129.75pt;z-index:251659264;mso-width-relative:page;mso-height-relative:page;" coordorigin="0,48" coordsize="2283,1020" o:gfxdata="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IW6E1bZAAAACAEAAA8AAAAA&#10;AAAAAQAgAAAAIgAAAGRycy9kb3ducmV2LnhtbFBLAQIUABQAAAAIAIdO4kC+n6h9MAMAAFYLAAAO&#10;AAAAAAAAAAEAIAAAACgBAABkcnMvZTJvRG9jLnhtbFBLBQYAAAAABgAGAFkBAADKBgAAAAA=&#10;">
                      <o:lock v:ext="edit" grouping="f" rotation="f" text="f" aspectratio="f"/>
                      <v:line id="_x0000_s1026" o:spid="_x0000_s1026" o:spt="20" style="position:absolute;left:0;top:48;height:1020;width:2283;"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x0000_s1026" o:spid="_x0000_s1026" o:spt="202" type="#_x0000_t202" style="position:absolute;left:1107;top:105;height:262;width:252;"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时</w:t>
                              </w:r>
                            </w:p>
                          </w:txbxContent>
                        </v:textbox>
                      </v:shape>
                      <v:shape id="_x0000_s1026" o:spid="_x0000_s1026" o:spt="202" type="#_x0000_t202" style="position:absolute;left:1719;top:378;height:263;width:253;"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期</w:t>
                              </w:r>
                            </w:p>
                          </w:txbxContent>
                        </v:textbox>
                      </v:shape>
                      <v:shape id="_x0000_s1026" o:spid="_x0000_s1026" o:spt="202" type="#_x0000_t202" style="position:absolute;left:284;top:397;height:262;width:253;"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指</w:t>
                              </w:r>
                            </w:p>
                          </w:txbxContent>
                        </v:textbox>
                      </v:shape>
                      <v:shape id="_x0000_s1026" o:spid="_x0000_s1026" o:spt="202" type="#_x0000_t202" style="position:absolute;left:853;top:651;height:262;width:252;"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标</w:t>
                              </w:r>
                            </w:p>
                          </w:txbxContent>
                        </v:textbox>
                      </v:shape>
                    </v:group>
                  </w:pict>
                </mc:Fallback>
              </mc:AlternateContent>
            </w:r>
          </w:p>
        </w:tc>
        <w:tc>
          <w:tcPr>
            <w:tcW w:w="26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报告期</w:t>
            </w:r>
          </w:p>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eastAsia="zh-CN"/>
              </w:rPr>
              <w:t>202</w:t>
            </w:r>
            <w:r>
              <w:rPr>
                <w:rFonts w:hint="eastAsia" w:ascii="仿宋" w:hAnsi="仿宋" w:eastAsia="仿宋" w:cs="仿宋"/>
                <w:color w:val="auto"/>
                <w:szCs w:val="21"/>
                <w:lang w:val="en-US" w:eastAsia="zh-CN"/>
              </w:rPr>
              <w:t>5</w:t>
            </w:r>
            <w:r>
              <w:rPr>
                <w:rFonts w:hint="eastAsia" w:ascii="仿宋" w:hAnsi="仿宋" w:eastAsia="仿宋" w:cs="仿宋"/>
                <w:color w:val="auto"/>
                <w:szCs w:val="21"/>
              </w:rPr>
              <w:t>年末）</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基期</w:t>
            </w:r>
          </w:p>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（20</w:t>
            </w:r>
            <w:r>
              <w:rPr>
                <w:rFonts w:ascii="仿宋" w:hAnsi="仿宋" w:eastAsia="仿宋" w:cs="仿宋"/>
                <w:color w:val="auto"/>
                <w:szCs w:val="21"/>
              </w:rPr>
              <w:t>2</w:t>
            </w:r>
            <w:r>
              <w:rPr>
                <w:rFonts w:hint="eastAsia" w:ascii="仿宋" w:hAnsi="仿宋" w:eastAsia="仿宋" w:cs="仿宋"/>
                <w:color w:val="auto"/>
                <w:szCs w:val="21"/>
                <w:lang w:val="en-US" w:eastAsia="zh-CN"/>
              </w:rPr>
              <w:t>4</w:t>
            </w:r>
            <w:r>
              <w:rPr>
                <w:rFonts w:hint="eastAsia" w:ascii="仿宋" w:hAnsi="仿宋" w:eastAsia="仿宋" w:cs="仿宋"/>
                <w:color w:val="auto"/>
                <w:szCs w:val="21"/>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szCs w:val="21"/>
                <w:highlight w:val="none"/>
              </w:rPr>
              <w:t>职工人数</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43</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szCs w:val="21"/>
                <w:highlight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szCs w:val="21"/>
                <w:highlight w:val="none"/>
              </w:rPr>
              <w:t>股东人数</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szCs w:val="21"/>
                <w:highlight w:val="none"/>
              </w:rPr>
              <w:t>资本充足率</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34.76</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color w:val="auto"/>
                <w:szCs w:val="21"/>
                <w:highlight w:val="none"/>
              </w:rPr>
            </w:pPr>
            <w:r>
              <w:rPr>
                <w:rFonts w:hint="eastAsia" w:ascii="仿宋" w:hAnsi="仿宋" w:eastAsia="仿宋" w:cs="仿宋"/>
                <w:szCs w:val="21"/>
                <w:highlight w:val="none"/>
                <w:lang w:val="en-US" w:eastAsia="zh-CN"/>
              </w:rPr>
              <w:t>33.81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szCs w:val="21"/>
                <w:highlight w:val="none"/>
              </w:rPr>
              <w:t>股本金总额</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ascii="仿宋" w:hAnsi="仿宋" w:eastAsia="仿宋" w:cs="仿宋"/>
                <w:color w:val="auto"/>
                <w:szCs w:val="21"/>
                <w:highlight w:val="none"/>
              </w:rPr>
            </w:pPr>
            <w:r>
              <w:rPr>
                <w:rFonts w:hint="eastAsia" w:ascii="仿宋" w:hAnsi="仿宋" w:eastAsia="仿宋" w:cs="仿宋"/>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szCs w:val="21"/>
                <w:highlight w:val="none"/>
              </w:rPr>
              <w:t>不良贷款比例</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1.26</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szCs w:val="21"/>
                <w:highlight w:val="none"/>
                <w:lang w:val="en-US" w:eastAsia="zh-CN"/>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szCs w:val="21"/>
                <w:highlight w:val="none"/>
              </w:rPr>
              <w:t>贷款余额</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3.50</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szCs w:val="21"/>
                <w:highlight w:val="none"/>
                <w:lang w:val="en-US" w:eastAsia="zh-CN"/>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szCs w:val="21"/>
                <w:highlight w:val="none"/>
              </w:rPr>
              <w:t>存款余额</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3.45</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szCs w:val="21"/>
                <w:highlight w:val="none"/>
                <w:lang w:val="en-US" w:eastAsia="zh-CN"/>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szCs w:val="21"/>
                <w:highlight w:val="none"/>
              </w:rPr>
              <w:t>本年净利润</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0.2</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color w:val="auto"/>
                <w:szCs w:val="21"/>
                <w:highlight w:val="none"/>
                <w:lang w:val="en-US"/>
              </w:rPr>
            </w:pPr>
            <w:r>
              <w:rPr>
                <w:rFonts w:hint="eastAsia" w:ascii="仿宋" w:hAnsi="仿宋" w:eastAsia="仿宋" w:cs="仿宋"/>
                <w:szCs w:val="21"/>
                <w:highlight w:val="none"/>
                <w:lang w:val="en-US" w:eastAsia="zh-CN"/>
              </w:rPr>
              <w:t>-0.14</w:t>
            </w:r>
          </w:p>
        </w:tc>
      </w:tr>
    </w:tbl>
    <w:p>
      <w:pPr>
        <w:pStyle w:val="4"/>
        <w:keepNext w:val="0"/>
        <w:keepLines w:val="0"/>
        <w:pageBreakBefore w:val="0"/>
        <w:kinsoku/>
        <w:wordWrap/>
        <w:overflowPunct/>
        <w:topLinePunct w:val="0"/>
        <w:autoSpaceDE/>
        <w:autoSpaceDN/>
        <w:bidi w:val="0"/>
        <w:spacing w:line="560" w:lineRule="exact"/>
        <w:ind w:firstLine="597"/>
        <w:jc w:val="right"/>
        <w:rPr>
          <w:rFonts w:hint="eastAsia" w:ascii="仿宋" w:hAnsi="仿宋" w:eastAsia="仿宋" w:cs="仿宋"/>
          <w:color w:val="auto"/>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１</w: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eastAsia="方正小标宋_GBK"/>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8D06"/>
    <w:multiLevelType w:val="singleLevel"/>
    <w:tmpl w:val="9EBF8D06"/>
    <w:lvl w:ilvl="0" w:tentative="0">
      <w:start w:val="3"/>
      <w:numFmt w:val="decimal"/>
      <w:suff w:val="nothing"/>
      <w:lvlText w:val="%1、"/>
      <w:lvlJc w:val="left"/>
    </w:lvl>
  </w:abstractNum>
  <w:abstractNum w:abstractNumId="1">
    <w:nsid w:val="DF56D058"/>
    <w:multiLevelType w:val="singleLevel"/>
    <w:tmpl w:val="DF56D058"/>
    <w:lvl w:ilvl="0" w:tentative="0">
      <w:start w:val="8"/>
      <w:numFmt w:val="chineseCounting"/>
      <w:suff w:val="nothing"/>
      <w:lvlText w:val="（%1）"/>
      <w:lvlJc w:val="left"/>
      <w:rPr>
        <w:rFonts w:hint="eastAsia"/>
      </w:rPr>
    </w:lvl>
  </w:abstractNum>
  <w:abstractNum w:abstractNumId="2">
    <w:nsid w:val="00000010"/>
    <w:multiLevelType w:val="singleLevel"/>
    <w:tmpl w:val="00000010"/>
    <w:lvl w:ilvl="0" w:tentative="0">
      <w:start w:val="5"/>
      <w:numFmt w:val="chineseCounting"/>
      <w:suff w:val="nothing"/>
      <w:lvlText w:val="（%1）"/>
      <w:lvlJc w:val="left"/>
    </w:lvl>
  </w:abstractNum>
  <w:abstractNum w:abstractNumId="3">
    <w:nsid w:val="246A77BA"/>
    <w:multiLevelType w:val="singleLevel"/>
    <w:tmpl w:val="246A77BA"/>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D70FF"/>
    <w:rsid w:val="0026330F"/>
    <w:rsid w:val="002850C8"/>
    <w:rsid w:val="005B719B"/>
    <w:rsid w:val="005E0E98"/>
    <w:rsid w:val="0071776E"/>
    <w:rsid w:val="008A628E"/>
    <w:rsid w:val="009C1268"/>
    <w:rsid w:val="00BD776B"/>
    <w:rsid w:val="00D25AF9"/>
    <w:rsid w:val="00F852B3"/>
    <w:rsid w:val="013868E5"/>
    <w:rsid w:val="013F6E27"/>
    <w:rsid w:val="01607217"/>
    <w:rsid w:val="017B74C1"/>
    <w:rsid w:val="01DE6D2F"/>
    <w:rsid w:val="026B0C84"/>
    <w:rsid w:val="0279251B"/>
    <w:rsid w:val="028F106B"/>
    <w:rsid w:val="02A25DCB"/>
    <w:rsid w:val="02C74E71"/>
    <w:rsid w:val="02E3628D"/>
    <w:rsid w:val="03082347"/>
    <w:rsid w:val="0328131A"/>
    <w:rsid w:val="034B4A0C"/>
    <w:rsid w:val="036837E4"/>
    <w:rsid w:val="036876FF"/>
    <w:rsid w:val="03A66CC9"/>
    <w:rsid w:val="03B21D3A"/>
    <w:rsid w:val="03D23309"/>
    <w:rsid w:val="043204E4"/>
    <w:rsid w:val="04430F12"/>
    <w:rsid w:val="04584AD9"/>
    <w:rsid w:val="045E0191"/>
    <w:rsid w:val="04831C0C"/>
    <w:rsid w:val="04845EEE"/>
    <w:rsid w:val="04AC69B3"/>
    <w:rsid w:val="04D759AC"/>
    <w:rsid w:val="04FC353F"/>
    <w:rsid w:val="050875E0"/>
    <w:rsid w:val="050A570D"/>
    <w:rsid w:val="05296B2F"/>
    <w:rsid w:val="052D6805"/>
    <w:rsid w:val="059937F7"/>
    <w:rsid w:val="05CC6D8C"/>
    <w:rsid w:val="05D94D03"/>
    <w:rsid w:val="05F80675"/>
    <w:rsid w:val="060E2A3D"/>
    <w:rsid w:val="06124A4F"/>
    <w:rsid w:val="06275067"/>
    <w:rsid w:val="06AA25D4"/>
    <w:rsid w:val="06AB06DE"/>
    <w:rsid w:val="06BD3AD9"/>
    <w:rsid w:val="06E02C9A"/>
    <w:rsid w:val="06F77BD5"/>
    <w:rsid w:val="0739336B"/>
    <w:rsid w:val="07461431"/>
    <w:rsid w:val="07594014"/>
    <w:rsid w:val="078824D8"/>
    <w:rsid w:val="07A731B0"/>
    <w:rsid w:val="07BB04E0"/>
    <w:rsid w:val="07C53F98"/>
    <w:rsid w:val="07FC5BF6"/>
    <w:rsid w:val="08171B55"/>
    <w:rsid w:val="089E1B0F"/>
    <w:rsid w:val="08C52446"/>
    <w:rsid w:val="08E660F4"/>
    <w:rsid w:val="08E957E3"/>
    <w:rsid w:val="0908243C"/>
    <w:rsid w:val="09133E39"/>
    <w:rsid w:val="09443780"/>
    <w:rsid w:val="09A15437"/>
    <w:rsid w:val="09BC5D44"/>
    <w:rsid w:val="09C84377"/>
    <w:rsid w:val="09D630EE"/>
    <w:rsid w:val="09EB3F2E"/>
    <w:rsid w:val="09F70D8C"/>
    <w:rsid w:val="0A2821E8"/>
    <w:rsid w:val="0A571130"/>
    <w:rsid w:val="0A587E46"/>
    <w:rsid w:val="0A626D8B"/>
    <w:rsid w:val="0A7F66D1"/>
    <w:rsid w:val="0AB44968"/>
    <w:rsid w:val="0ABA41A8"/>
    <w:rsid w:val="0ADE784E"/>
    <w:rsid w:val="0ADF2CBA"/>
    <w:rsid w:val="0AEE0F73"/>
    <w:rsid w:val="0B072832"/>
    <w:rsid w:val="0B1B62B1"/>
    <w:rsid w:val="0B4F2A8F"/>
    <w:rsid w:val="0B750A32"/>
    <w:rsid w:val="0B980769"/>
    <w:rsid w:val="0BAB0202"/>
    <w:rsid w:val="0C1B5F26"/>
    <w:rsid w:val="0C3874B0"/>
    <w:rsid w:val="0C403DF2"/>
    <w:rsid w:val="0C4E0893"/>
    <w:rsid w:val="0C6D73CF"/>
    <w:rsid w:val="0C720E2E"/>
    <w:rsid w:val="0C7639EB"/>
    <w:rsid w:val="0CB32343"/>
    <w:rsid w:val="0CC824D8"/>
    <w:rsid w:val="0CD54697"/>
    <w:rsid w:val="0CEE24D9"/>
    <w:rsid w:val="0CFE0C79"/>
    <w:rsid w:val="0D0F785F"/>
    <w:rsid w:val="0D362CB4"/>
    <w:rsid w:val="0D4D4234"/>
    <w:rsid w:val="0D707AB4"/>
    <w:rsid w:val="0D807107"/>
    <w:rsid w:val="0D897EAB"/>
    <w:rsid w:val="0DB50FB0"/>
    <w:rsid w:val="0DCC7905"/>
    <w:rsid w:val="0E0243D5"/>
    <w:rsid w:val="0E036744"/>
    <w:rsid w:val="0E053156"/>
    <w:rsid w:val="0E7635E9"/>
    <w:rsid w:val="0E917D47"/>
    <w:rsid w:val="0EA45ACB"/>
    <w:rsid w:val="0EC22582"/>
    <w:rsid w:val="0ECD30AA"/>
    <w:rsid w:val="0EFB2B54"/>
    <w:rsid w:val="0F321964"/>
    <w:rsid w:val="0F3F5CEA"/>
    <w:rsid w:val="0F4A2988"/>
    <w:rsid w:val="0F4B7538"/>
    <w:rsid w:val="0F587DA7"/>
    <w:rsid w:val="0F807464"/>
    <w:rsid w:val="0F8B3353"/>
    <w:rsid w:val="0F8B4CAB"/>
    <w:rsid w:val="0FAD6329"/>
    <w:rsid w:val="0FBC570E"/>
    <w:rsid w:val="0FFC227A"/>
    <w:rsid w:val="103C5C8B"/>
    <w:rsid w:val="10470CB8"/>
    <w:rsid w:val="10500AF5"/>
    <w:rsid w:val="105F7BAB"/>
    <w:rsid w:val="10A605BD"/>
    <w:rsid w:val="10AD0C2D"/>
    <w:rsid w:val="110C3173"/>
    <w:rsid w:val="11843472"/>
    <w:rsid w:val="11891DF3"/>
    <w:rsid w:val="118B15EA"/>
    <w:rsid w:val="11B0533F"/>
    <w:rsid w:val="11BB7EF1"/>
    <w:rsid w:val="11C27F9A"/>
    <w:rsid w:val="11FC30D4"/>
    <w:rsid w:val="120E7DFD"/>
    <w:rsid w:val="124D1097"/>
    <w:rsid w:val="12BA24B2"/>
    <w:rsid w:val="12FC17BD"/>
    <w:rsid w:val="13101F57"/>
    <w:rsid w:val="1321743F"/>
    <w:rsid w:val="13547E10"/>
    <w:rsid w:val="13761574"/>
    <w:rsid w:val="13B41B87"/>
    <w:rsid w:val="13E14308"/>
    <w:rsid w:val="13EA2F59"/>
    <w:rsid w:val="140239F4"/>
    <w:rsid w:val="141515DB"/>
    <w:rsid w:val="14194AD5"/>
    <w:rsid w:val="14270E1B"/>
    <w:rsid w:val="14296A48"/>
    <w:rsid w:val="14346D99"/>
    <w:rsid w:val="1446522B"/>
    <w:rsid w:val="14473A56"/>
    <w:rsid w:val="144C0815"/>
    <w:rsid w:val="145D517D"/>
    <w:rsid w:val="14A72AFB"/>
    <w:rsid w:val="14C54CE5"/>
    <w:rsid w:val="14CC51A6"/>
    <w:rsid w:val="14CC7A25"/>
    <w:rsid w:val="14E8494E"/>
    <w:rsid w:val="15216C88"/>
    <w:rsid w:val="15501281"/>
    <w:rsid w:val="157F786A"/>
    <w:rsid w:val="15852F91"/>
    <w:rsid w:val="15DA6E59"/>
    <w:rsid w:val="15E05FA9"/>
    <w:rsid w:val="160C7454"/>
    <w:rsid w:val="168D2A63"/>
    <w:rsid w:val="16AE30F5"/>
    <w:rsid w:val="16B14592"/>
    <w:rsid w:val="16CD3D0E"/>
    <w:rsid w:val="16E87F76"/>
    <w:rsid w:val="171D2C99"/>
    <w:rsid w:val="176D4424"/>
    <w:rsid w:val="177C4917"/>
    <w:rsid w:val="17DE2D7C"/>
    <w:rsid w:val="17E6307C"/>
    <w:rsid w:val="18240628"/>
    <w:rsid w:val="184339C0"/>
    <w:rsid w:val="18485E70"/>
    <w:rsid w:val="18557299"/>
    <w:rsid w:val="189734E8"/>
    <w:rsid w:val="18C16E92"/>
    <w:rsid w:val="18E22021"/>
    <w:rsid w:val="18E47AE8"/>
    <w:rsid w:val="18E53FE5"/>
    <w:rsid w:val="18E76357"/>
    <w:rsid w:val="18F55243"/>
    <w:rsid w:val="191A7EB7"/>
    <w:rsid w:val="192A54C4"/>
    <w:rsid w:val="192C4B17"/>
    <w:rsid w:val="195D076B"/>
    <w:rsid w:val="196372A9"/>
    <w:rsid w:val="19711EDD"/>
    <w:rsid w:val="197A6094"/>
    <w:rsid w:val="19860541"/>
    <w:rsid w:val="19987EA6"/>
    <w:rsid w:val="19995264"/>
    <w:rsid w:val="19C953D9"/>
    <w:rsid w:val="1A054E41"/>
    <w:rsid w:val="1A0806E7"/>
    <w:rsid w:val="1A0C2A16"/>
    <w:rsid w:val="1A243B42"/>
    <w:rsid w:val="1A996461"/>
    <w:rsid w:val="1AA6077C"/>
    <w:rsid w:val="1AB42E43"/>
    <w:rsid w:val="1ACE0A18"/>
    <w:rsid w:val="1B372AC4"/>
    <w:rsid w:val="1B563E9B"/>
    <w:rsid w:val="1B62644E"/>
    <w:rsid w:val="1B8B000C"/>
    <w:rsid w:val="1B8B4D9F"/>
    <w:rsid w:val="1BF253A7"/>
    <w:rsid w:val="1BFE45EF"/>
    <w:rsid w:val="1C1A0C74"/>
    <w:rsid w:val="1C4B1822"/>
    <w:rsid w:val="1C4E5E69"/>
    <w:rsid w:val="1C5466F4"/>
    <w:rsid w:val="1C624349"/>
    <w:rsid w:val="1CC44072"/>
    <w:rsid w:val="1CC76968"/>
    <w:rsid w:val="1CDB1067"/>
    <w:rsid w:val="1CFE2B97"/>
    <w:rsid w:val="1D3758BF"/>
    <w:rsid w:val="1D3D466B"/>
    <w:rsid w:val="1D68529A"/>
    <w:rsid w:val="1D7B131B"/>
    <w:rsid w:val="1D831085"/>
    <w:rsid w:val="1D872910"/>
    <w:rsid w:val="1D880BD6"/>
    <w:rsid w:val="1D994989"/>
    <w:rsid w:val="1DB01AE3"/>
    <w:rsid w:val="1DBB333A"/>
    <w:rsid w:val="1E132D8E"/>
    <w:rsid w:val="1E4128D6"/>
    <w:rsid w:val="1E4F0DD7"/>
    <w:rsid w:val="1E634BD2"/>
    <w:rsid w:val="1E674179"/>
    <w:rsid w:val="1E780681"/>
    <w:rsid w:val="1EBA22EF"/>
    <w:rsid w:val="1EC51BA4"/>
    <w:rsid w:val="1ED92D86"/>
    <w:rsid w:val="1EE429F3"/>
    <w:rsid w:val="1F126690"/>
    <w:rsid w:val="1F1570B6"/>
    <w:rsid w:val="1F506C6E"/>
    <w:rsid w:val="1F717773"/>
    <w:rsid w:val="1F9E3812"/>
    <w:rsid w:val="1FB22867"/>
    <w:rsid w:val="1FCB1C01"/>
    <w:rsid w:val="1FF10A48"/>
    <w:rsid w:val="20024B23"/>
    <w:rsid w:val="202028D1"/>
    <w:rsid w:val="204E4EB3"/>
    <w:rsid w:val="206047BD"/>
    <w:rsid w:val="20714381"/>
    <w:rsid w:val="20CC4763"/>
    <w:rsid w:val="20CE5EF5"/>
    <w:rsid w:val="211E4A43"/>
    <w:rsid w:val="2181633D"/>
    <w:rsid w:val="21BD3879"/>
    <w:rsid w:val="21EB2BEF"/>
    <w:rsid w:val="225627CB"/>
    <w:rsid w:val="225A2A61"/>
    <w:rsid w:val="228133B7"/>
    <w:rsid w:val="22931AEC"/>
    <w:rsid w:val="22BC6E65"/>
    <w:rsid w:val="22C536EE"/>
    <w:rsid w:val="22EF13C2"/>
    <w:rsid w:val="22FD38F2"/>
    <w:rsid w:val="23002F45"/>
    <w:rsid w:val="2329120B"/>
    <w:rsid w:val="235F5616"/>
    <w:rsid w:val="237C70E9"/>
    <w:rsid w:val="23884BCF"/>
    <w:rsid w:val="239A388A"/>
    <w:rsid w:val="23B918D0"/>
    <w:rsid w:val="23BD3639"/>
    <w:rsid w:val="23BD3CEA"/>
    <w:rsid w:val="23FB3B03"/>
    <w:rsid w:val="246425C6"/>
    <w:rsid w:val="248821A2"/>
    <w:rsid w:val="24D85BE3"/>
    <w:rsid w:val="24E957F2"/>
    <w:rsid w:val="25274624"/>
    <w:rsid w:val="25371DCA"/>
    <w:rsid w:val="254E0365"/>
    <w:rsid w:val="25A12676"/>
    <w:rsid w:val="25A14DD2"/>
    <w:rsid w:val="25BB54E3"/>
    <w:rsid w:val="25BE4B5B"/>
    <w:rsid w:val="25D90C24"/>
    <w:rsid w:val="25FE0BD6"/>
    <w:rsid w:val="261C0DFF"/>
    <w:rsid w:val="26480ED3"/>
    <w:rsid w:val="26513056"/>
    <w:rsid w:val="265332E8"/>
    <w:rsid w:val="26A0018C"/>
    <w:rsid w:val="26C0625C"/>
    <w:rsid w:val="26C50F5E"/>
    <w:rsid w:val="26F978A8"/>
    <w:rsid w:val="270B2AC6"/>
    <w:rsid w:val="2725450E"/>
    <w:rsid w:val="27877129"/>
    <w:rsid w:val="27AE5DA9"/>
    <w:rsid w:val="27CF6AD4"/>
    <w:rsid w:val="27F23879"/>
    <w:rsid w:val="27FA53DE"/>
    <w:rsid w:val="27FE6395"/>
    <w:rsid w:val="281339D6"/>
    <w:rsid w:val="2845278F"/>
    <w:rsid w:val="286E45A9"/>
    <w:rsid w:val="288A1E53"/>
    <w:rsid w:val="28B02E24"/>
    <w:rsid w:val="28C27C0A"/>
    <w:rsid w:val="28EC1187"/>
    <w:rsid w:val="28EE121C"/>
    <w:rsid w:val="29255D49"/>
    <w:rsid w:val="292B4C8C"/>
    <w:rsid w:val="29AA50C6"/>
    <w:rsid w:val="29BA703C"/>
    <w:rsid w:val="29FA7083"/>
    <w:rsid w:val="29FB453B"/>
    <w:rsid w:val="29FD46DE"/>
    <w:rsid w:val="2A036150"/>
    <w:rsid w:val="2A284AD5"/>
    <w:rsid w:val="2A3D055B"/>
    <w:rsid w:val="2A4415F6"/>
    <w:rsid w:val="2A6932B8"/>
    <w:rsid w:val="2A783D90"/>
    <w:rsid w:val="2AA80BE3"/>
    <w:rsid w:val="2AC5614E"/>
    <w:rsid w:val="2ADC2190"/>
    <w:rsid w:val="2AFD1710"/>
    <w:rsid w:val="2B065D4B"/>
    <w:rsid w:val="2B0C2545"/>
    <w:rsid w:val="2B0D2341"/>
    <w:rsid w:val="2B214F0B"/>
    <w:rsid w:val="2B541C6B"/>
    <w:rsid w:val="2B580ECE"/>
    <w:rsid w:val="2B5E073C"/>
    <w:rsid w:val="2B6400FB"/>
    <w:rsid w:val="2B7D5F7D"/>
    <w:rsid w:val="2B990068"/>
    <w:rsid w:val="2BF56461"/>
    <w:rsid w:val="2C1903E9"/>
    <w:rsid w:val="2C1D24A7"/>
    <w:rsid w:val="2C3E57E2"/>
    <w:rsid w:val="2C434D2F"/>
    <w:rsid w:val="2C556420"/>
    <w:rsid w:val="2CA52411"/>
    <w:rsid w:val="2CF24D52"/>
    <w:rsid w:val="2D33559C"/>
    <w:rsid w:val="2D6B2629"/>
    <w:rsid w:val="2D8D6D69"/>
    <w:rsid w:val="2DD269F5"/>
    <w:rsid w:val="2DEB0738"/>
    <w:rsid w:val="2E161D4B"/>
    <w:rsid w:val="2E19593F"/>
    <w:rsid w:val="2E332489"/>
    <w:rsid w:val="2E337278"/>
    <w:rsid w:val="2E6B2065"/>
    <w:rsid w:val="2E812CE0"/>
    <w:rsid w:val="2EA571BB"/>
    <w:rsid w:val="2EAF5344"/>
    <w:rsid w:val="2EB60C68"/>
    <w:rsid w:val="2EC0066F"/>
    <w:rsid w:val="2EE1482D"/>
    <w:rsid w:val="2F06661D"/>
    <w:rsid w:val="2F0E6C77"/>
    <w:rsid w:val="2F1153AA"/>
    <w:rsid w:val="2F1C5793"/>
    <w:rsid w:val="2F264A52"/>
    <w:rsid w:val="2F4366FF"/>
    <w:rsid w:val="2F623CDD"/>
    <w:rsid w:val="2F63397E"/>
    <w:rsid w:val="2F710853"/>
    <w:rsid w:val="2F7622C3"/>
    <w:rsid w:val="2F85379D"/>
    <w:rsid w:val="2F920DF8"/>
    <w:rsid w:val="2F955369"/>
    <w:rsid w:val="2FA60BD8"/>
    <w:rsid w:val="2FA7778A"/>
    <w:rsid w:val="2FF779FA"/>
    <w:rsid w:val="2FFC008C"/>
    <w:rsid w:val="3031371E"/>
    <w:rsid w:val="30357925"/>
    <w:rsid w:val="3042292A"/>
    <w:rsid w:val="305A52F0"/>
    <w:rsid w:val="308704B8"/>
    <w:rsid w:val="3088522A"/>
    <w:rsid w:val="3098028A"/>
    <w:rsid w:val="30A279AB"/>
    <w:rsid w:val="30A94036"/>
    <w:rsid w:val="30B26258"/>
    <w:rsid w:val="30BA248C"/>
    <w:rsid w:val="30F57874"/>
    <w:rsid w:val="311B39B5"/>
    <w:rsid w:val="318D1BAD"/>
    <w:rsid w:val="31A03C89"/>
    <w:rsid w:val="31B260CC"/>
    <w:rsid w:val="31B71D96"/>
    <w:rsid w:val="31C96CA8"/>
    <w:rsid w:val="31EE67D5"/>
    <w:rsid w:val="32010CF1"/>
    <w:rsid w:val="32047A88"/>
    <w:rsid w:val="325C3B1D"/>
    <w:rsid w:val="326827D0"/>
    <w:rsid w:val="32754364"/>
    <w:rsid w:val="32844391"/>
    <w:rsid w:val="328E30EB"/>
    <w:rsid w:val="32973AB3"/>
    <w:rsid w:val="32AC1905"/>
    <w:rsid w:val="32C158A7"/>
    <w:rsid w:val="32CC4C8D"/>
    <w:rsid w:val="331A0F01"/>
    <w:rsid w:val="33304A6B"/>
    <w:rsid w:val="3353738F"/>
    <w:rsid w:val="335772F4"/>
    <w:rsid w:val="33B05A2E"/>
    <w:rsid w:val="33DA27AB"/>
    <w:rsid w:val="340D7F0F"/>
    <w:rsid w:val="341E4DAA"/>
    <w:rsid w:val="34585F39"/>
    <w:rsid w:val="34614F21"/>
    <w:rsid w:val="348229DB"/>
    <w:rsid w:val="348D06B3"/>
    <w:rsid w:val="349E1719"/>
    <w:rsid w:val="34A34524"/>
    <w:rsid w:val="34BA4925"/>
    <w:rsid w:val="34E8147A"/>
    <w:rsid w:val="34FC38AF"/>
    <w:rsid w:val="35921E08"/>
    <w:rsid w:val="359767A7"/>
    <w:rsid w:val="35B816BC"/>
    <w:rsid w:val="35D31973"/>
    <w:rsid w:val="35E47675"/>
    <w:rsid w:val="35F2558A"/>
    <w:rsid w:val="362F1E13"/>
    <w:rsid w:val="368C1859"/>
    <w:rsid w:val="36B22E1C"/>
    <w:rsid w:val="36B560EB"/>
    <w:rsid w:val="36D75D77"/>
    <w:rsid w:val="36DA6524"/>
    <w:rsid w:val="36E1228B"/>
    <w:rsid w:val="36EC0AC4"/>
    <w:rsid w:val="36F44302"/>
    <w:rsid w:val="36F54B1F"/>
    <w:rsid w:val="36FF7EAB"/>
    <w:rsid w:val="377B6601"/>
    <w:rsid w:val="37C217BB"/>
    <w:rsid w:val="383A24B3"/>
    <w:rsid w:val="38444064"/>
    <w:rsid w:val="38757F57"/>
    <w:rsid w:val="389A32C2"/>
    <w:rsid w:val="389D44AD"/>
    <w:rsid w:val="38A2766F"/>
    <w:rsid w:val="39052A5B"/>
    <w:rsid w:val="39073CFA"/>
    <w:rsid w:val="392565C3"/>
    <w:rsid w:val="392D39A1"/>
    <w:rsid w:val="392E20FE"/>
    <w:rsid w:val="39344657"/>
    <w:rsid w:val="39AA3127"/>
    <w:rsid w:val="39B709E8"/>
    <w:rsid w:val="39D9683E"/>
    <w:rsid w:val="39E90E41"/>
    <w:rsid w:val="39F052D9"/>
    <w:rsid w:val="39FD2BFA"/>
    <w:rsid w:val="3A0E0C68"/>
    <w:rsid w:val="3A752B1A"/>
    <w:rsid w:val="3A7C2ACA"/>
    <w:rsid w:val="3AB917A0"/>
    <w:rsid w:val="3AB95AEA"/>
    <w:rsid w:val="3AD3295B"/>
    <w:rsid w:val="3AF31F75"/>
    <w:rsid w:val="3B027553"/>
    <w:rsid w:val="3B062ECF"/>
    <w:rsid w:val="3B5A77F8"/>
    <w:rsid w:val="3B716DAE"/>
    <w:rsid w:val="3B751E5F"/>
    <w:rsid w:val="3BA01F4F"/>
    <w:rsid w:val="3BA63210"/>
    <w:rsid w:val="3BFF07A8"/>
    <w:rsid w:val="3C5409B8"/>
    <w:rsid w:val="3C645CAA"/>
    <w:rsid w:val="3C720B35"/>
    <w:rsid w:val="3C741024"/>
    <w:rsid w:val="3C7B5966"/>
    <w:rsid w:val="3CBF0925"/>
    <w:rsid w:val="3CD8230C"/>
    <w:rsid w:val="3CE61329"/>
    <w:rsid w:val="3CEE1A15"/>
    <w:rsid w:val="3D123A02"/>
    <w:rsid w:val="3D187729"/>
    <w:rsid w:val="3D1C175B"/>
    <w:rsid w:val="3D4E4E1E"/>
    <w:rsid w:val="3D5A7E29"/>
    <w:rsid w:val="3D6F66A1"/>
    <w:rsid w:val="3D83558B"/>
    <w:rsid w:val="3DBC74B5"/>
    <w:rsid w:val="3DFF2C02"/>
    <w:rsid w:val="3E236750"/>
    <w:rsid w:val="3E2654E9"/>
    <w:rsid w:val="3E391BC5"/>
    <w:rsid w:val="3ECD1210"/>
    <w:rsid w:val="3EE017E4"/>
    <w:rsid w:val="3EF0309E"/>
    <w:rsid w:val="3F0970C2"/>
    <w:rsid w:val="3F0C68FC"/>
    <w:rsid w:val="3F234CEB"/>
    <w:rsid w:val="3F665DE2"/>
    <w:rsid w:val="3FC3733C"/>
    <w:rsid w:val="3FDE0294"/>
    <w:rsid w:val="3FDE72E3"/>
    <w:rsid w:val="3FF719E6"/>
    <w:rsid w:val="401176EC"/>
    <w:rsid w:val="401C51D3"/>
    <w:rsid w:val="402C2518"/>
    <w:rsid w:val="40306AB9"/>
    <w:rsid w:val="403516DA"/>
    <w:rsid w:val="40667BCE"/>
    <w:rsid w:val="40696FCE"/>
    <w:rsid w:val="406D4FFF"/>
    <w:rsid w:val="409715F1"/>
    <w:rsid w:val="40BA7ADA"/>
    <w:rsid w:val="40E15F6C"/>
    <w:rsid w:val="41135476"/>
    <w:rsid w:val="415254BE"/>
    <w:rsid w:val="4174573B"/>
    <w:rsid w:val="41911B98"/>
    <w:rsid w:val="41BB654E"/>
    <w:rsid w:val="41BF5817"/>
    <w:rsid w:val="41E74F05"/>
    <w:rsid w:val="41EC4796"/>
    <w:rsid w:val="42017098"/>
    <w:rsid w:val="423826FE"/>
    <w:rsid w:val="4252336F"/>
    <w:rsid w:val="42AC7564"/>
    <w:rsid w:val="43114338"/>
    <w:rsid w:val="437F69BC"/>
    <w:rsid w:val="438C5B11"/>
    <w:rsid w:val="43F32E95"/>
    <w:rsid w:val="44356287"/>
    <w:rsid w:val="4441274E"/>
    <w:rsid w:val="44415D1B"/>
    <w:rsid w:val="447F6392"/>
    <w:rsid w:val="448308BC"/>
    <w:rsid w:val="44993558"/>
    <w:rsid w:val="44E73A0D"/>
    <w:rsid w:val="45016AF8"/>
    <w:rsid w:val="45883D1F"/>
    <w:rsid w:val="459459BF"/>
    <w:rsid w:val="45A51A66"/>
    <w:rsid w:val="45CF0C27"/>
    <w:rsid w:val="45D62FC7"/>
    <w:rsid w:val="45E86A32"/>
    <w:rsid w:val="45FC19D6"/>
    <w:rsid w:val="468967BA"/>
    <w:rsid w:val="46984429"/>
    <w:rsid w:val="46D60E67"/>
    <w:rsid w:val="46E31248"/>
    <w:rsid w:val="47546082"/>
    <w:rsid w:val="47896FB5"/>
    <w:rsid w:val="47A67FEB"/>
    <w:rsid w:val="47D36597"/>
    <w:rsid w:val="47E4728E"/>
    <w:rsid w:val="480E1E66"/>
    <w:rsid w:val="484056CC"/>
    <w:rsid w:val="484603E8"/>
    <w:rsid w:val="485242CF"/>
    <w:rsid w:val="487C4EE7"/>
    <w:rsid w:val="48F1392D"/>
    <w:rsid w:val="490713E4"/>
    <w:rsid w:val="495B0F79"/>
    <w:rsid w:val="49723AA9"/>
    <w:rsid w:val="499D4FF5"/>
    <w:rsid w:val="499E184C"/>
    <w:rsid w:val="49CC7BA0"/>
    <w:rsid w:val="4A1130B2"/>
    <w:rsid w:val="4A29657C"/>
    <w:rsid w:val="4A342336"/>
    <w:rsid w:val="4A465DB7"/>
    <w:rsid w:val="4A96732B"/>
    <w:rsid w:val="4AAC22A8"/>
    <w:rsid w:val="4B0E0CA2"/>
    <w:rsid w:val="4B3A14B4"/>
    <w:rsid w:val="4B4042C3"/>
    <w:rsid w:val="4B502EF7"/>
    <w:rsid w:val="4B7E0EF5"/>
    <w:rsid w:val="4B826232"/>
    <w:rsid w:val="4BAD417E"/>
    <w:rsid w:val="4BE60A71"/>
    <w:rsid w:val="4BE80E7D"/>
    <w:rsid w:val="4C27472F"/>
    <w:rsid w:val="4C4440A0"/>
    <w:rsid w:val="4C511BDB"/>
    <w:rsid w:val="4C7F29B2"/>
    <w:rsid w:val="4C8105EE"/>
    <w:rsid w:val="4CBB575A"/>
    <w:rsid w:val="4CFD1D8C"/>
    <w:rsid w:val="4D3436BD"/>
    <w:rsid w:val="4D403AFF"/>
    <w:rsid w:val="4D4763C2"/>
    <w:rsid w:val="4D6D75F8"/>
    <w:rsid w:val="4D7B6576"/>
    <w:rsid w:val="4D9D00BF"/>
    <w:rsid w:val="4DB4519A"/>
    <w:rsid w:val="4DE71AED"/>
    <w:rsid w:val="4E151FAA"/>
    <w:rsid w:val="4E804F69"/>
    <w:rsid w:val="4EBC3AB2"/>
    <w:rsid w:val="4EC06070"/>
    <w:rsid w:val="4ECE29F6"/>
    <w:rsid w:val="4EE03AF3"/>
    <w:rsid w:val="4EEF5B5F"/>
    <w:rsid w:val="4F623F9B"/>
    <w:rsid w:val="4F7F2687"/>
    <w:rsid w:val="4FA75316"/>
    <w:rsid w:val="4FF176CB"/>
    <w:rsid w:val="500819E8"/>
    <w:rsid w:val="50562F0F"/>
    <w:rsid w:val="50900AC7"/>
    <w:rsid w:val="50AF7CD0"/>
    <w:rsid w:val="50C41AC4"/>
    <w:rsid w:val="50E06445"/>
    <w:rsid w:val="50E410B9"/>
    <w:rsid w:val="50ED09E2"/>
    <w:rsid w:val="51040D53"/>
    <w:rsid w:val="510F5B94"/>
    <w:rsid w:val="51397997"/>
    <w:rsid w:val="51601429"/>
    <w:rsid w:val="519E0870"/>
    <w:rsid w:val="51A62C0D"/>
    <w:rsid w:val="51BC05F5"/>
    <w:rsid w:val="51C103FB"/>
    <w:rsid w:val="51C81CF7"/>
    <w:rsid w:val="51CA4B81"/>
    <w:rsid w:val="52037837"/>
    <w:rsid w:val="52193295"/>
    <w:rsid w:val="521F052E"/>
    <w:rsid w:val="52423C41"/>
    <w:rsid w:val="52636DEC"/>
    <w:rsid w:val="52724A84"/>
    <w:rsid w:val="5286235B"/>
    <w:rsid w:val="529D6D31"/>
    <w:rsid w:val="53115D4B"/>
    <w:rsid w:val="532E3CF7"/>
    <w:rsid w:val="53313335"/>
    <w:rsid w:val="536859ED"/>
    <w:rsid w:val="53787497"/>
    <w:rsid w:val="538E1DDF"/>
    <w:rsid w:val="53973E12"/>
    <w:rsid w:val="53A77212"/>
    <w:rsid w:val="54291C45"/>
    <w:rsid w:val="542D70FF"/>
    <w:rsid w:val="548A4337"/>
    <w:rsid w:val="549E743F"/>
    <w:rsid w:val="54E30260"/>
    <w:rsid w:val="55032419"/>
    <w:rsid w:val="554442CA"/>
    <w:rsid w:val="55ED3BA4"/>
    <w:rsid w:val="561C5DD1"/>
    <w:rsid w:val="565345DD"/>
    <w:rsid w:val="56873B5E"/>
    <w:rsid w:val="56E84C40"/>
    <w:rsid w:val="57624AC1"/>
    <w:rsid w:val="57CB69C1"/>
    <w:rsid w:val="57D41604"/>
    <w:rsid w:val="57DD1C02"/>
    <w:rsid w:val="58202186"/>
    <w:rsid w:val="582B667D"/>
    <w:rsid w:val="5842030B"/>
    <w:rsid w:val="58732465"/>
    <w:rsid w:val="587654C8"/>
    <w:rsid w:val="58F2057A"/>
    <w:rsid w:val="59042553"/>
    <w:rsid w:val="596A3379"/>
    <w:rsid w:val="597A4159"/>
    <w:rsid w:val="59A434D5"/>
    <w:rsid w:val="59C52C91"/>
    <w:rsid w:val="59E5753B"/>
    <w:rsid w:val="59EA70FA"/>
    <w:rsid w:val="5A0B096C"/>
    <w:rsid w:val="5A40274E"/>
    <w:rsid w:val="5A7228DA"/>
    <w:rsid w:val="5A732918"/>
    <w:rsid w:val="5A763444"/>
    <w:rsid w:val="5A952658"/>
    <w:rsid w:val="5A9F4723"/>
    <w:rsid w:val="5AD30718"/>
    <w:rsid w:val="5AFC0D2B"/>
    <w:rsid w:val="5B0B68C9"/>
    <w:rsid w:val="5B25541F"/>
    <w:rsid w:val="5B52296D"/>
    <w:rsid w:val="5B5F6DF5"/>
    <w:rsid w:val="5B64040C"/>
    <w:rsid w:val="5B8420E1"/>
    <w:rsid w:val="5B87105F"/>
    <w:rsid w:val="5B8E31E0"/>
    <w:rsid w:val="5B914CEA"/>
    <w:rsid w:val="5BDA6820"/>
    <w:rsid w:val="5C006796"/>
    <w:rsid w:val="5C190BBF"/>
    <w:rsid w:val="5C860C4D"/>
    <w:rsid w:val="5CAE2FB7"/>
    <w:rsid w:val="5CB00AEB"/>
    <w:rsid w:val="5CB10CAF"/>
    <w:rsid w:val="5CCB4534"/>
    <w:rsid w:val="5CDB745B"/>
    <w:rsid w:val="5CE744FF"/>
    <w:rsid w:val="5D153C69"/>
    <w:rsid w:val="5D451152"/>
    <w:rsid w:val="5D636AEB"/>
    <w:rsid w:val="5D9941A6"/>
    <w:rsid w:val="5DA86DAF"/>
    <w:rsid w:val="5DBA0806"/>
    <w:rsid w:val="5DC92428"/>
    <w:rsid w:val="5DFE2DC6"/>
    <w:rsid w:val="5E4376F0"/>
    <w:rsid w:val="5E94406A"/>
    <w:rsid w:val="5E9C18D8"/>
    <w:rsid w:val="5EB04F1E"/>
    <w:rsid w:val="5EBB0D94"/>
    <w:rsid w:val="5EC26A6E"/>
    <w:rsid w:val="5EF8158F"/>
    <w:rsid w:val="5F1A6FD9"/>
    <w:rsid w:val="5F407A0E"/>
    <w:rsid w:val="5F496CA5"/>
    <w:rsid w:val="5F646170"/>
    <w:rsid w:val="5FA04CF5"/>
    <w:rsid w:val="5FE933E7"/>
    <w:rsid w:val="5FEC7F6F"/>
    <w:rsid w:val="60397157"/>
    <w:rsid w:val="60493EE3"/>
    <w:rsid w:val="606A152A"/>
    <w:rsid w:val="60941409"/>
    <w:rsid w:val="60C16FB3"/>
    <w:rsid w:val="60D34DB6"/>
    <w:rsid w:val="60DE6158"/>
    <w:rsid w:val="61072154"/>
    <w:rsid w:val="61127073"/>
    <w:rsid w:val="61334453"/>
    <w:rsid w:val="613A5312"/>
    <w:rsid w:val="613A59C9"/>
    <w:rsid w:val="615F0980"/>
    <w:rsid w:val="61602414"/>
    <w:rsid w:val="617F626A"/>
    <w:rsid w:val="61C56997"/>
    <w:rsid w:val="61D157C0"/>
    <w:rsid w:val="61EA0B40"/>
    <w:rsid w:val="61EB0472"/>
    <w:rsid w:val="622E5342"/>
    <w:rsid w:val="62316D01"/>
    <w:rsid w:val="62551BC0"/>
    <w:rsid w:val="62617239"/>
    <w:rsid w:val="62665C4D"/>
    <w:rsid w:val="62A90663"/>
    <w:rsid w:val="62AE5065"/>
    <w:rsid w:val="62CE4F03"/>
    <w:rsid w:val="62DA041A"/>
    <w:rsid w:val="62FD3016"/>
    <w:rsid w:val="63210300"/>
    <w:rsid w:val="6326575A"/>
    <w:rsid w:val="632C0165"/>
    <w:rsid w:val="6333505B"/>
    <w:rsid w:val="633C3C17"/>
    <w:rsid w:val="63412207"/>
    <w:rsid w:val="63D51834"/>
    <w:rsid w:val="640F1736"/>
    <w:rsid w:val="64277AE2"/>
    <w:rsid w:val="643D43A3"/>
    <w:rsid w:val="648E58A9"/>
    <w:rsid w:val="64956F75"/>
    <w:rsid w:val="649A731B"/>
    <w:rsid w:val="64D94EB3"/>
    <w:rsid w:val="652F708A"/>
    <w:rsid w:val="6580004C"/>
    <w:rsid w:val="65885B01"/>
    <w:rsid w:val="65D213CF"/>
    <w:rsid w:val="65E401FD"/>
    <w:rsid w:val="66301608"/>
    <w:rsid w:val="66476AAD"/>
    <w:rsid w:val="66A14589"/>
    <w:rsid w:val="66EC4636"/>
    <w:rsid w:val="67186B7E"/>
    <w:rsid w:val="671D51A5"/>
    <w:rsid w:val="67407209"/>
    <w:rsid w:val="67677FBA"/>
    <w:rsid w:val="67791AF7"/>
    <w:rsid w:val="677B5F4D"/>
    <w:rsid w:val="67AA2F12"/>
    <w:rsid w:val="67D50A5B"/>
    <w:rsid w:val="67DA335B"/>
    <w:rsid w:val="67E30AC2"/>
    <w:rsid w:val="67FB3BDA"/>
    <w:rsid w:val="68285503"/>
    <w:rsid w:val="68380E7B"/>
    <w:rsid w:val="683D12E5"/>
    <w:rsid w:val="684C74FF"/>
    <w:rsid w:val="68733FD8"/>
    <w:rsid w:val="68834AC8"/>
    <w:rsid w:val="68943667"/>
    <w:rsid w:val="68FC31AD"/>
    <w:rsid w:val="69486BBC"/>
    <w:rsid w:val="69503F6C"/>
    <w:rsid w:val="69CA6C1F"/>
    <w:rsid w:val="69DF78C5"/>
    <w:rsid w:val="69EE337E"/>
    <w:rsid w:val="69FF4941"/>
    <w:rsid w:val="6A1E4348"/>
    <w:rsid w:val="6A295662"/>
    <w:rsid w:val="6A555C51"/>
    <w:rsid w:val="6A6B75C7"/>
    <w:rsid w:val="6A9F021E"/>
    <w:rsid w:val="6AA757DA"/>
    <w:rsid w:val="6AA9022B"/>
    <w:rsid w:val="6ACB4CA1"/>
    <w:rsid w:val="6ADD605B"/>
    <w:rsid w:val="6AEC4249"/>
    <w:rsid w:val="6B1D4121"/>
    <w:rsid w:val="6B4E4D1B"/>
    <w:rsid w:val="6BF10B8E"/>
    <w:rsid w:val="6C333B8E"/>
    <w:rsid w:val="6C5061C8"/>
    <w:rsid w:val="6C5B2CA6"/>
    <w:rsid w:val="6C8B5EB8"/>
    <w:rsid w:val="6C9762D8"/>
    <w:rsid w:val="6CC17DC8"/>
    <w:rsid w:val="6CF85047"/>
    <w:rsid w:val="6D031180"/>
    <w:rsid w:val="6DAA5915"/>
    <w:rsid w:val="6DAD7A70"/>
    <w:rsid w:val="6DC421D1"/>
    <w:rsid w:val="6DD75689"/>
    <w:rsid w:val="6E105412"/>
    <w:rsid w:val="6E117739"/>
    <w:rsid w:val="6E270B02"/>
    <w:rsid w:val="6E5D1C68"/>
    <w:rsid w:val="6EA4567A"/>
    <w:rsid w:val="6EBD47E1"/>
    <w:rsid w:val="6ED34E7A"/>
    <w:rsid w:val="6F0A34B8"/>
    <w:rsid w:val="6F163EA0"/>
    <w:rsid w:val="6F3163BB"/>
    <w:rsid w:val="6F573837"/>
    <w:rsid w:val="6F621362"/>
    <w:rsid w:val="6FAF6934"/>
    <w:rsid w:val="6FEB0D6F"/>
    <w:rsid w:val="70045194"/>
    <w:rsid w:val="70080F0A"/>
    <w:rsid w:val="7025687B"/>
    <w:rsid w:val="705E796E"/>
    <w:rsid w:val="70780E9E"/>
    <w:rsid w:val="70D14FFE"/>
    <w:rsid w:val="70D65785"/>
    <w:rsid w:val="70E2733E"/>
    <w:rsid w:val="70F70094"/>
    <w:rsid w:val="70FE05CF"/>
    <w:rsid w:val="7117758C"/>
    <w:rsid w:val="711A0D2E"/>
    <w:rsid w:val="713110A4"/>
    <w:rsid w:val="713B72F5"/>
    <w:rsid w:val="7149046E"/>
    <w:rsid w:val="71831CDF"/>
    <w:rsid w:val="71A92794"/>
    <w:rsid w:val="71C4765D"/>
    <w:rsid w:val="71C92029"/>
    <w:rsid w:val="71C9579B"/>
    <w:rsid w:val="71D34DBB"/>
    <w:rsid w:val="71E51D06"/>
    <w:rsid w:val="71E96266"/>
    <w:rsid w:val="72291439"/>
    <w:rsid w:val="72321D4C"/>
    <w:rsid w:val="723729AE"/>
    <w:rsid w:val="72431EDE"/>
    <w:rsid w:val="72882953"/>
    <w:rsid w:val="729C0A36"/>
    <w:rsid w:val="72A37A5D"/>
    <w:rsid w:val="72A842D5"/>
    <w:rsid w:val="72AE2B4C"/>
    <w:rsid w:val="72AF7F18"/>
    <w:rsid w:val="72D10239"/>
    <w:rsid w:val="72EB32C3"/>
    <w:rsid w:val="72F07D0A"/>
    <w:rsid w:val="731C4703"/>
    <w:rsid w:val="7350777B"/>
    <w:rsid w:val="735C3DA2"/>
    <w:rsid w:val="73680DB5"/>
    <w:rsid w:val="73D77CB9"/>
    <w:rsid w:val="73DF36CF"/>
    <w:rsid w:val="73E64FF7"/>
    <w:rsid w:val="73F23468"/>
    <w:rsid w:val="73FB3108"/>
    <w:rsid w:val="73FC0447"/>
    <w:rsid w:val="74020893"/>
    <w:rsid w:val="740A3F3A"/>
    <w:rsid w:val="74511377"/>
    <w:rsid w:val="74631555"/>
    <w:rsid w:val="746A6808"/>
    <w:rsid w:val="749D69F9"/>
    <w:rsid w:val="74A332A9"/>
    <w:rsid w:val="74D45121"/>
    <w:rsid w:val="74EF796C"/>
    <w:rsid w:val="750A130D"/>
    <w:rsid w:val="75153160"/>
    <w:rsid w:val="753C7CF9"/>
    <w:rsid w:val="75533860"/>
    <w:rsid w:val="758033E4"/>
    <w:rsid w:val="75817500"/>
    <w:rsid w:val="75A45FD6"/>
    <w:rsid w:val="75A55FBC"/>
    <w:rsid w:val="75AC4F08"/>
    <w:rsid w:val="75C1717D"/>
    <w:rsid w:val="75D56BE6"/>
    <w:rsid w:val="75DE729F"/>
    <w:rsid w:val="75DF5E29"/>
    <w:rsid w:val="75E37922"/>
    <w:rsid w:val="7666183B"/>
    <w:rsid w:val="767A6C54"/>
    <w:rsid w:val="76C977C6"/>
    <w:rsid w:val="76CC3A64"/>
    <w:rsid w:val="76F33CEB"/>
    <w:rsid w:val="771723BE"/>
    <w:rsid w:val="77366982"/>
    <w:rsid w:val="77373BC8"/>
    <w:rsid w:val="773E1504"/>
    <w:rsid w:val="774B0587"/>
    <w:rsid w:val="777869DA"/>
    <w:rsid w:val="7780281F"/>
    <w:rsid w:val="77E9480E"/>
    <w:rsid w:val="78030096"/>
    <w:rsid w:val="7850483D"/>
    <w:rsid w:val="78520FE4"/>
    <w:rsid w:val="787323A7"/>
    <w:rsid w:val="787A7A97"/>
    <w:rsid w:val="78874F10"/>
    <w:rsid w:val="78966E47"/>
    <w:rsid w:val="78A12447"/>
    <w:rsid w:val="78CC59ED"/>
    <w:rsid w:val="78E7350B"/>
    <w:rsid w:val="78EF371D"/>
    <w:rsid w:val="78F65D4D"/>
    <w:rsid w:val="791B4CB5"/>
    <w:rsid w:val="79BD5085"/>
    <w:rsid w:val="79D17EDA"/>
    <w:rsid w:val="79D25C36"/>
    <w:rsid w:val="79D61BED"/>
    <w:rsid w:val="79D826E8"/>
    <w:rsid w:val="79E54B3F"/>
    <w:rsid w:val="79F66798"/>
    <w:rsid w:val="7A443355"/>
    <w:rsid w:val="7A6E29A3"/>
    <w:rsid w:val="7A884D65"/>
    <w:rsid w:val="7A940987"/>
    <w:rsid w:val="7AC71F3E"/>
    <w:rsid w:val="7ADB36CB"/>
    <w:rsid w:val="7AEB7C40"/>
    <w:rsid w:val="7AF4675A"/>
    <w:rsid w:val="7B107770"/>
    <w:rsid w:val="7B303DCB"/>
    <w:rsid w:val="7B3326AD"/>
    <w:rsid w:val="7B602170"/>
    <w:rsid w:val="7B6567DF"/>
    <w:rsid w:val="7BEA5E79"/>
    <w:rsid w:val="7BF40B21"/>
    <w:rsid w:val="7C420795"/>
    <w:rsid w:val="7C483385"/>
    <w:rsid w:val="7C853F5E"/>
    <w:rsid w:val="7CE67651"/>
    <w:rsid w:val="7D891167"/>
    <w:rsid w:val="7D903240"/>
    <w:rsid w:val="7DBF5F70"/>
    <w:rsid w:val="7DED326F"/>
    <w:rsid w:val="7E02343A"/>
    <w:rsid w:val="7E857668"/>
    <w:rsid w:val="7EC5707B"/>
    <w:rsid w:val="7ECC3F81"/>
    <w:rsid w:val="7ED8728E"/>
    <w:rsid w:val="7EF00DF5"/>
    <w:rsid w:val="7F113D28"/>
    <w:rsid w:val="7F4657EA"/>
    <w:rsid w:val="7F5931C8"/>
    <w:rsid w:val="7F5F375A"/>
    <w:rsid w:val="7F993430"/>
    <w:rsid w:val="7FE44983"/>
    <w:rsid w:val="7FF86EC7"/>
    <w:rsid w:val="7FFD3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annotation text"/>
    <w:basedOn w:val="1"/>
    <w:qFormat/>
    <w:uiPriority w:val="0"/>
    <w:pPr>
      <w:jc w:val="left"/>
    </w:pPr>
    <w:rPr>
      <w:rFonts w:ascii="Times New Roman" w:hAnsi="Times New Roman" w:eastAsia="宋体" w:cs="Times New Roman"/>
      <w:szCs w:val="24"/>
    </w:rPr>
  </w:style>
  <w:style w:type="paragraph" w:styleId="4">
    <w:name w:val="Plain Text"/>
    <w:basedOn w:val="1"/>
    <w:uiPriority w:val="0"/>
    <w:rPr>
      <w:rFonts w:ascii="宋体" w:hAnsi="Courier New" w:cs="Courier New"/>
      <w:szCs w:val="21"/>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Lines="0" w:beforeAutospacing="1" w:after="100" w:afterLines="0" w:afterAutospacing="1"/>
      <w:jc w:val="left"/>
    </w:pPr>
    <w:rPr>
      <w:rFonts w:ascii="宋体" w:hAnsi="宋体"/>
      <w:kern w:val="0"/>
      <w:sz w:val="24"/>
      <w:szCs w:val="32"/>
    </w:rPr>
  </w:style>
  <w:style w:type="character" w:styleId="10">
    <w:name w:val="page number"/>
    <w:basedOn w:val="9"/>
    <w:uiPriority w:val="0"/>
  </w:style>
  <w:style w:type="paragraph" w:customStyle="1" w:styleId="11">
    <w:name w:val="正文缩进1"/>
    <w:basedOn w:val="1"/>
    <w:qFormat/>
    <w:uiPriority w:val="0"/>
    <w:pPr>
      <w:ind w:firstLine="200" w:firstLineChars="200"/>
    </w:pPr>
  </w:style>
  <w:style w:type="paragraph" w:customStyle="1" w:styleId="12">
    <w:name w:val=" Char"/>
    <w:basedOn w:val="2"/>
    <w:uiPriority w:val="0"/>
    <w:pPr>
      <w:widowControl/>
      <w:snapToGrid w:val="0"/>
      <w:spacing w:after="160" w:afterLines="0" w:line="360" w:lineRule="auto"/>
      <w:jc w:val="left"/>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2026-04-28T05:45:00Z</dcterms:created>
  <dc:creator>Lenovo</dc:creator>
  <cp:lastModifiedBy>Lenovo</cp:lastModifiedBy>
  <dcterms:modified xsi:type="dcterms:W3CDTF">2026-04-28T05:46:05Z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3E366FBFA6484189A7D24D0E127787E9</vt:lpwstr>
  </property>
</Properties>
</file>