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汝阳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兴福村镇银行股份有限公司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年半年度第三支柱信息披露报告</w:t>
      </w:r>
    </w:p>
    <w:bookmarkEnd w:id="0"/>
    <w:p>
      <w:pPr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640" w:firstLineChars="200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公司为非国内系统重要性银行，根据《商业银行资本管理办法》（以下简称“办法”），公司属于第三档商业银行，按照办法附件</w:t>
      </w:r>
      <w:r>
        <w:rPr>
          <w:rFonts w:ascii="仿宋" w:hAnsi="仿宋" w:eastAsia="仿宋" w:cs="仿宋"/>
          <w:sz w:val="32"/>
          <w:szCs w:val="32"/>
          <w:lang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《第三档商业银行资本监管规定》，本期公司需披露的报表如下：</w:t>
      </w:r>
    </w:p>
    <w:p>
      <w:pPr>
        <w:spacing w:before="156" w:beforeLines="50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关键审慎监管指标</w:t>
      </w:r>
    </w:p>
    <w:p>
      <w:pPr>
        <w:jc w:val="right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单位：人民币万元</w:t>
      </w:r>
    </w:p>
    <w:tbl>
      <w:tblPr>
        <w:tblStyle w:val="4"/>
        <w:tblW w:w="943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636"/>
        <w:gridCol w:w="1408"/>
        <w:gridCol w:w="147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56" w:type="dxa"/>
            <w:gridSpan w:val="2"/>
            <w:vMerge w:val="restart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a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56" w:type="dxa"/>
            <w:gridSpan w:val="2"/>
            <w:vMerge w:val="continue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T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T-1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4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可用资本（数额）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1</w:t>
            </w:r>
          </w:p>
        </w:tc>
        <w:tc>
          <w:tcPr>
            <w:tcW w:w="5636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核心一级资本净额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8766.74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7677.79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2</w:t>
            </w:r>
          </w:p>
        </w:tc>
        <w:tc>
          <w:tcPr>
            <w:tcW w:w="5636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资本净额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11137.17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9858.07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4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  <w:lang w:eastAsia="zh-CN"/>
              </w:rPr>
              <w:t>风险加权资产（数额）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3</w:t>
            </w:r>
          </w:p>
        </w:tc>
        <w:tc>
          <w:tcPr>
            <w:tcW w:w="5636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信用风险加权资产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44643.51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45422.66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4</w:t>
            </w:r>
          </w:p>
        </w:tc>
        <w:tc>
          <w:tcPr>
            <w:tcW w:w="5636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操作风险加权资产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7479.94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7479.94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5</w:t>
            </w:r>
          </w:p>
        </w:tc>
        <w:tc>
          <w:tcPr>
            <w:tcW w:w="5636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风险加权资产合计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52123.45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52902.60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4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资本充足率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0" w:type="dxa"/>
            <w:tcBorders>
              <w:left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6</w:t>
            </w:r>
          </w:p>
        </w:tc>
        <w:tc>
          <w:tcPr>
            <w:tcW w:w="5636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核心一级资本充足率（</w:t>
            </w:r>
            <w:r>
              <w:rPr>
                <w:rFonts w:ascii="仿宋" w:hAnsi="仿宋" w:eastAsia="仿宋" w:cs="Arial Unicode MS"/>
                <w:color w:val="000000"/>
                <w:lang w:eastAsia="zh-CN"/>
              </w:rPr>
              <w:t>%）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16.82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14.51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7</w:t>
            </w:r>
          </w:p>
        </w:tc>
        <w:tc>
          <w:tcPr>
            <w:tcW w:w="5636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资本充足率（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21.37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18.63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4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杠杆率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8</w:t>
            </w:r>
          </w:p>
        </w:tc>
        <w:tc>
          <w:tcPr>
            <w:tcW w:w="5636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调整后表内外资产余额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106381.20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98108.01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9</w:t>
            </w:r>
          </w:p>
        </w:tc>
        <w:tc>
          <w:tcPr>
            <w:tcW w:w="5636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杠杆率</w:t>
            </w:r>
            <w:r>
              <w:rPr>
                <w:rFonts w:hint="eastAsia" w:ascii="仿宋" w:hAnsi="仿宋" w:eastAsia="仿宋" w:cs="Arial Unicode MS"/>
                <w:color w:val="000000"/>
              </w:rPr>
              <w:t>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8.24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7.83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10</w:t>
            </w:r>
          </w:p>
        </w:tc>
        <w:tc>
          <w:tcPr>
            <w:tcW w:w="5636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杠杆率a</w:t>
            </w:r>
            <w:r>
              <w:rPr>
                <w:rFonts w:hint="eastAsia" w:ascii="仿宋" w:hAnsi="仿宋" w:eastAsia="仿宋" w:cs="Arial Unicode MS"/>
                <w:color w:val="000000"/>
              </w:rPr>
              <w:t>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8.24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7.83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4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流动性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11</w:t>
            </w:r>
          </w:p>
        </w:tc>
        <w:tc>
          <w:tcPr>
            <w:tcW w:w="5636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优质流动性资产充足率（</w:t>
            </w:r>
            <w:r>
              <w:rPr>
                <w:rFonts w:ascii="仿宋" w:hAnsi="仿宋" w:eastAsia="仿宋" w:cs="Arial Unicode MS"/>
                <w:color w:val="000000"/>
                <w:lang w:eastAsia="zh-CN"/>
              </w:rPr>
              <w:t>%）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309.87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186.12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12</w:t>
            </w:r>
          </w:p>
        </w:tc>
        <w:tc>
          <w:tcPr>
            <w:tcW w:w="5636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流动性比例（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379.95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258.07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0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13</w:t>
            </w:r>
          </w:p>
        </w:tc>
        <w:tc>
          <w:tcPr>
            <w:tcW w:w="5636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流动性匹配率（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209.24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188.91</w:t>
            </w:r>
          </w:p>
        </w:tc>
      </w:tr>
    </w:tbl>
    <w:p>
      <w:pPr>
        <w:rPr>
          <w:rFonts w:ascii="仿宋" w:hAnsi="仿宋" w:eastAsia="仿宋" w:cs="仿宋"/>
          <w:lang w:eastAsia="zh-CN"/>
        </w:rPr>
      </w:pPr>
    </w:p>
    <w:sectPr>
      <w:footerReference r:id="rId3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6050"/>
    <w:rsid w:val="00102C97"/>
    <w:rsid w:val="001501A6"/>
    <w:rsid w:val="00172A27"/>
    <w:rsid w:val="002072B6"/>
    <w:rsid w:val="00215F8A"/>
    <w:rsid w:val="00223FDE"/>
    <w:rsid w:val="0025279F"/>
    <w:rsid w:val="00331308"/>
    <w:rsid w:val="006E6510"/>
    <w:rsid w:val="00731161"/>
    <w:rsid w:val="00766A65"/>
    <w:rsid w:val="00844913"/>
    <w:rsid w:val="00894CEA"/>
    <w:rsid w:val="00B87DD9"/>
    <w:rsid w:val="00EA19F5"/>
    <w:rsid w:val="0414292B"/>
    <w:rsid w:val="08F972CE"/>
    <w:rsid w:val="09CD2478"/>
    <w:rsid w:val="0FE8639C"/>
    <w:rsid w:val="1AED137F"/>
    <w:rsid w:val="33191FB8"/>
    <w:rsid w:val="359527F5"/>
    <w:rsid w:val="3B084B8F"/>
    <w:rsid w:val="413F229E"/>
    <w:rsid w:val="456E53FE"/>
    <w:rsid w:val="4B4C3DB0"/>
    <w:rsid w:val="4C2645C5"/>
    <w:rsid w:val="4D3D0AB6"/>
    <w:rsid w:val="4E0931F7"/>
    <w:rsid w:val="52FE6B4C"/>
    <w:rsid w:val="553D751D"/>
    <w:rsid w:val="56FF5ECE"/>
    <w:rsid w:val="58E17E24"/>
    <w:rsid w:val="5F385158"/>
    <w:rsid w:val="68BB73E0"/>
    <w:rsid w:val="6C986413"/>
    <w:rsid w:val="6CC249E2"/>
    <w:rsid w:val="7BA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87</TotalTime>
  <ScaleCrop>false</ScaleCrop>
  <LinksUpToDate>false</LinksUpToDate>
  <CharactersWithSpaces>387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2024-08-14T01:42:00Z</dcterms:created>
  <dc:creator>何时凤</dc:creator>
  <cp:lastModifiedBy>dell</cp:lastModifiedBy>
  <cp:lastPrinted>2024-04-26T03:51:00Z</cp:lastPrinted>
  <dcterms:modified xsi:type="dcterms:W3CDTF">2025-08-27T06:46:33Z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540C4703F93D48FCB03F691F380AC879</vt:lpwstr>
  </property>
</Properties>
</file>