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44"/>
          <w:szCs w:val="44"/>
        </w:rPr>
      </w:pPr>
    </w:p>
    <w:p>
      <w:pPr>
        <w:jc w:val="center"/>
        <w:rPr>
          <w:rFonts w:hint="eastAsia" w:ascii="宋体" w:hAnsi="宋体" w:eastAsia="宋体" w:cs="宋体"/>
          <w:b/>
          <w:sz w:val="44"/>
          <w:szCs w:val="44"/>
        </w:rPr>
      </w:pPr>
    </w:p>
    <w:p>
      <w:pPr>
        <w:jc w:val="center"/>
        <w:rPr>
          <w:rFonts w:hint="eastAsia" w:ascii="宋体" w:hAnsi="宋体" w:eastAsia="宋体" w:cs="宋体"/>
          <w:b/>
          <w:sz w:val="44"/>
          <w:szCs w:val="44"/>
        </w:rPr>
      </w:pPr>
    </w:p>
    <w:p>
      <w:pPr>
        <w:jc w:val="center"/>
        <w:rPr>
          <w:rFonts w:hint="eastAsia" w:ascii="宋体" w:hAnsi="宋体" w:eastAsia="宋体" w:cs="宋体"/>
          <w:b/>
          <w:sz w:val="44"/>
          <w:szCs w:val="44"/>
        </w:rPr>
      </w:pPr>
    </w:p>
    <w:p>
      <w:pPr>
        <w:jc w:val="center"/>
        <w:rPr>
          <w:rFonts w:hint="eastAsia" w:ascii="宋体" w:hAnsi="宋体" w:eastAsia="宋体" w:cs="宋体"/>
          <w:b/>
          <w:sz w:val="44"/>
          <w:szCs w:val="44"/>
        </w:rPr>
      </w:pPr>
    </w:p>
    <w:p>
      <w:pPr>
        <w:jc w:val="both"/>
        <w:rPr>
          <w:rFonts w:hint="eastAsia" w:ascii="仿宋_GB2312" w:hAnsi="仿宋_GB2312" w:eastAsia="仿宋_GB2312" w:cs="仿宋_GB2312"/>
          <w:b/>
          <w:sz w:val="32"/>
          <w:szCs w:val="32"/>
          <w:lang w:eastAsia="zh-CN"/>
        </w:rPr>
      </w:pPr>
    </w:p>
    <w:p>
      <w:pPr>
        <w:jc w:val="center"/>
        <w:rPr>
          <w:rFonts w:hint="eastAsia" w:ascii="仿宋_GB2312" w:hAnsi="仿宋_GB2312" w:eastAsia="仿宋_GB2312" w:cs="仿宋_GB2312"/>
          <w:b/>
          <w:sz w:val="32"/>
          <w:szCs w:val="32"/>
          <w:lang w:eastAsia="zh-CN"/>
        </w:rPr>
      </w:pPr>
    </w:p>
    <w:p>
      <w:pPr>
        <w:jc w:val="center"/>
        <w:rPr>
          <w:rFonts w:hint="eastAsia" w:ascii="方正小标宋简体" w:hAnsi="方正小标宋简体" w:eastAsia="方正小标宋简体" w:cs="方正小标宋简体"/>
          <w:b w:val="0"/>
          <w:bCs/>
          <w:sz w:val="36"/>
          <w:szCs w:val="36"/>
        </w:rPr>
      </w:pPr>
      <w:bookmarkStart w:id="11" w:name="_GoBack"/>
      <w:r>
        <w:rPr>
          <w:rFonts w:hint="eastAsia" w:ascii="方正小标宋简体" w:hAnsi="方正小标宋简体" w:eastAsia="方正小标宋简体" w:cs="方正小标宋简体"/>
          <w:b w:val="0"/>
          <w:bCs/>
          <w:sz w:val="36"/>
          <w:szCs w:val="36"/>
          <w:lang w:eastAsia="zh-CN"/>
        </w:rPr>
        <w:t>汝阳兴福村镇银行</w:t>
      </w:r>
      <w:r>
        <w:rPr>
          <w:rFonts w:hint="eastAsia" w:ascii="方正小标宋简体" w:hAnsi="方正小标宋简体" w:eastAsia="方正小标宋简体" w:cs="方正小标宋简体"/>
          <w:b w:val="0"/>
          <w:bCs/>
          <w:sz w:val="36"/>
          <w:szCs w:val="36"/>
          <w:lang w:val="en-US" w:eastAsia="zh-CN"/>
        </w:rPr>
        <w:t>股份</w:t>
      </w:r>
      <w:r>
        <w:rPr>
          <w:rFonts w:hint="eastAsia" w:ascii="方正小标宋简体" w:hAnsi="方正小标宋简体" w:eastAsia="方正小标宋简体" w:cs="方正小标宋简体"/>
          <w:b w:val="0"/>
          <w:bCs/>
          <w:sz w:val="36"/>
          <w:szCs w:val="36"/>
        </w:rPr>
        <w:t>有限公司</w:t>
      </w:r>
    </w:p>
    <w:p>
      <w:pPr>
        <w:spacing w:line="240" w:lineRule="auto"/>
        <w:jc w:val="both"/>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2023</w:t>
      </w:r>
      <w:r>
        <w:rPr>
          <w:rFonts w:hint="eastAsia" w:ascii="方正小标宋简体" w:hAnsi="方正小标宋简体" w:eastAsia="方正小标宋简体" w:cs="方正小标宋简体"/>
          <w:b w:val="0"/>
          <w:bCs/>
          <w:sz w:val="36"/>
          <w:szCs w:val="36"/>
        </w:rPr>
        <w:t>年度信息披露报告</w:t>
      </w:r>
    </w:p>
    <w:bookmarkEnd w:id="11"/>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both"/>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Cs/>
          <w:sz w:val="32"/>
          <w:szCs w:val="32"/>
          <w:highlight w:val="none"/>
        </w:rPr>
        <w:t>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25</w:t>
      </w:r>
      <w:r>
        <w:rPr>
          <w:rFonts w:hint="eastAsia" w:ascii="仿宋_GB2312" w:hAnsi="仿宋_GB2312" w:eastAsia="仿宋_GB2312" w:cs="仿宋_GB2312"/>
          <w:bCs/>
          <w:sz w:val="32"/>
          <w:szCs w:val="32"/>
          <w:highlight w:val="none"/>
        </w:rPr>
        <w:t>日</w:t>
      </w:r>
    </w:p>
    <w:p>
      <w:pPr>
        <w:rPr>
          <w:rFonts w:hint="eastAsia" w:ascii="仿宋_GB2312" w:hAnsi="仿宋_GB2312" w:eastAsia="仿宋_GB2312" w:cs="仿宋_GB2312"/>
          <w:b/>
          <w:sz w:val="32"/>
          <w:szCs w:val="32"/>
        </w:rPr>
      </w:pPr>
    </w:p>
    <w:p>
      <w:pPr>
        <w:rPr>
          <w:rFonts w:hint="eastAsia" w:ascii="仿宋_GB2312" w:hAnsi="仿宋_GB2312" w:eastAsia="仿宋_GB2312" w:cs="仿宋_GB2312"/>
          <w:b/>
          <w:sz w:val="32"/>
          <w:szCs w:val="32"/>
        </w:rPr>
      </w:pPr>
    </w:p>
    <w:p>
      <w:pPr>
        <w:rPr>
          <w:rFonts w:hint="eastAsia" w:ascii="仿宋_GB2312" w:hAnsi="仿宋_GB2312" w:eastAsia="仿宋_GB2312" w:cs="仿宋_GB2312"/>
          <w:b/>
          <w:sz w:val="32"/>
          <w:szCs w:val="32"/>
        </w:rPr>
      </w:pPr>
    </w:p>
    <w:p>
      <w:pPr>
        <w:rPr>
          <w:rFonts w:hint="eastAsia" w:ascii="仿宋_GB2312" w:hAnsi="仿宋_GB2312" w:eastAsia="仿宋_GB2312" w:cs="仿宋_GB2312"/>
          <w:b/>
          <w:sz w:val="32"/>
          <w:szCs w:val="32"/>
        </w:rPr>
      </w:pPr>
    </w:p>
    <w:p>
      <w:pPr>
        <w:rPr>
          <w:rFonts w:hint="eastAsia" w:ascii="仿宋_GB2312" w:hAnsi="仿宋_GB2312" w:eastAsia="仿宋_GB2312" w:cs="仿宋_GB2312"/>
          <w:b/>
          <w:sz w:val="32"/>
          <w:szCs w:val="32"/>
        </w:rPr>
        <w:sectPr>
          <w:headerReference r:id="rId3" w:type="default"/>
          <w:footerReference r:id="rId4" w:type="default"/>
          <w:pgSz w:w="11906" w:h="16838"/>
          <w:pgMar w:top="1440" w:right="1803" w:bottom="1440" w:left="1803" w:header="0" w:footer="1588" w:gutter="0"/>
          <w:pgNumType w:fmt="numberInDash"/>
          <w:cols w:space="720" w:num="1"/>
          <w:docGrid w:type="lines" w:linePitch="312" w:charSpace="0"/>
        </w:sectPr>
      </w:pPr>
    </w:p>
    <w:p>
      <w:pPr>
        <w:pStyle w:val="8"/>
        <w:tabs>
          <w:tab w:val="right" w:leader="dot" w:pos="9298"/>
        </w:tabs>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目</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lang w:eastAsia="zh-CN"/>
        </w:rPr>
        <w:t>录</w:t>
      </w:r>
    </w:p>
    <w:p>
      <w:pPr>
        <w:pStyle w:val="8"/>
        <w:tabs>
          <w:tab w:val="right" w:leader="dot" w:pos="9298"/>
        </w:tabs>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TOC \o "1-1" \h \u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\l _Toc22242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一、重要提示</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_Toc22242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fldChar w:fldCharType="end"/>
      </w:r>
    </w:p>
    <w:p>
      <w:pPr>
        <w:pStyle w:val="8"/>
        <w:tabs>
          <w:tab w:val="right" w:leader="dot" w:pos="9298"/>
        </w:tabs>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\l _Toc12063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二、汝阳兴福村镇银行基本情况简介</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_Toc12063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fldChar w:fldCharType="end"/>
      </w:r>
    </w:p>
    <w:p>
      <w:pPr>
        <w:pStyle w:val="8"/>
        <w:tabs>
          <w:tab w:val="right" w:leader="dot" w:pos="9298"/>
        </w:tabs>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\l _Toc10922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三、汝阳兴福村镇银行股金变动及股东情况</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_Toc10922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fldChar w:fldCharType="end"/>
      </w:r>
    </w:p>
    <w:p>
      <w:pPr>
        <w:pStyle w:val="8"/>
        <w:tabs>
          <w:tab w:val="right" w:leader="dot" w:pos="9298"/>
        </w:tabs>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\l _Toc1076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四、汝阳兴福村镇银行法人治理结构和运作情况</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_Toc1076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fldChar w:fldCharType="end"/>
      </w:r>
    </w:p>
    <w:p>
      <w:pPr>
        <w:pStyle w:val="8"/>
        <w:tabs>
          <w:tab w:val="right" w:leader="dot" w:pos="9298"/>
        </w:tabs>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\l _Toc18499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五、汝阳兴福村镇银行2023年度经营情况</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_Toc18499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9</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fldChar w:fldCharType="end"/>
      </w:r>
    </w:p>
    <w:p>
      <w:pPr>
        <w:pStyle w:val="8"/>
        <w:tabs>
          <w:tab w:val="right" w:leader="dot" w:pos="9298"/>
        </w:tabs>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\l _Toc10879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六、汝阳兴福村镇银行2023年度重大事项</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_Toc10879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13</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fldChar w:fldCharType="end"/>
      </w:r>
    </w:p>
    <w:p>
      <w:pPr>
        <w:pStyle w:val="8"/>
        <w:tabs>
          <w:tab w:val="right" w:leader="dot" w:pos="9298"/>
        </w:tabs>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\l _Toc22340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七、汝阳兴福村镇银行资本充足率情况</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_Toc22340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14</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fldChar w:fldCharType="end"/>
      </w:r>
    </w:p>
    <w:p>
      <w:pPr>
        <w:pStyle w:val="8"/>
        <w:tabs>
          <w:tab w:val="right" w:leader="dot" w:pos="9298"/>
        </w:tabs>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\l _Toc31355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八、汝阳兴福村镇银行经营风险情况</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_Toc31355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14</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fldChar w:fldCharType="end"/>
      </w:r>
    </w:p>
    <w:p>
      <w:pPr>
        <w:pStyle w:val="8"/>
        <w:tabs>
          <w:tab w:val="right" w:leader="dot" w:pos="9298"/>
        </w:tabs>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\l _Toc26735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九、关联交易情况</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_Toc26735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17</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fldChar w:fldCharType="end"/>
      </w:r>
    </w:p>
    <w:p>
      <w:pPr>
        <w:pStyle w:val="8"/>
        <w:tabs>
          <w:tab w:val="right" w:leader="dot" w:pos="9298"/>
        </w:tabs>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\l _Toc23350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十、消费者权益保护工作情况</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_Toc23350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17</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fldChar w:fldCharType="end"/>
      </w:r>
    </w:p>
    <w:p>
      <w:pPr>
        <w:pStyle w:val="8"/>
        <w:tabs>
          <w:tab w:val="right" w:leader="dot" w:pos="9298"/>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\l _Toc17068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十一、汝阳兴福村镇银行2023年度信息披露表</w:t>
      </w:r>
      <w:r>
        <w:rPr>
          <w:rFonts w:hint="eastAsia" w:ascii="仿宋_GB2312" w:hAnsi="仿宋_GB2312" w:eastAsia="仿宋_GB2312" w:cs="仿宋_GB2312"/>
          <w:b w:val="0"/>
          <w:bCs w:val="0"/>
          <w:kern w:val="2"/>
          <w:sz w:val="32"/>
          <w:szCs w:val="32"/>
          <w:lang w:val="en-US" w:eastAsia="zh-CN" w:bidi="ar-SA"/>
        </w:rPr>
        <w:tab/>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PAGEREF _Toc17068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20</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fldChar w:fldCharType="end"/>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kern w:val="2"/>
          <w:sz w:val="32"/>
          <w:szCs w:val="32"/>
          <w:lang w:val="en-US" w:eastAsia="zh-CN" w:bidi="ar-SA"/>
        </w:rPr>
        <w:fldChar w:fldCharType="end"/>
      </w: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footerReference r:id="rId5" w:type="default"/>
          <w:pgSz w:w="11906" w:h="16838"/>
          <w:pgMar w:top="2098" w:right="1304" w:bottom="1985" w:left="1304" w:header="0" w:footer="1588" w:gutter="0"/>
          <w:pgNumType w:fmt="numberInDash"/>
          <w:cols w:space="720" w:num="1"/>
          <w:docGrid w:type="lines" w:linePitch="312" w:charSpace="0"/>
        </w:sectPr>
      </w:pP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汝阳兴福村镇银行</w:t>
      </w:r>
      <w:r>
        <w:rPr>
          <w:rFonts w:hint="eastAsia" w:ascii="方正小标宋简体" w:hAnsi="方正小标宋简体" w:eastAsia="方正小标宋简体" w:cs="方正小标宋简体"/>
          <w:b w:val="0"/>
          <w:bCs w:val="0"/>
          <w:sz w:val="36"/>
          <w:szCs w:val="36"/>
          <w:lang w:val="en-US" w:eastAsia="zh-CN"/>
        </w:rPr>
        <w:t>股份</w:t>
      </w:r>
      <w:r>
        <w:rPr>
          <w:rFonts w:hint="eastAsia" w:ascii="方正小标宋简体" w:hAnsi="方正小标宋简体" w:eastAsia="方正小标宋简体" w:cs="方正小标宋简体"/>
          <w:b w:val="0"/>
          <w:bCs w:val="0"/>
          <w:sz w:val="36"/>
          <w:szCs w:val="36"/>
        </w:rPr>
        <w:t>有限公司</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2023</w:t>
      </w:r>
      <w:r>
        <w:rPr>
          <w:rFonts w:hint="eastAsia" w:ascii="方正小标宋简体" w:hAnsi="方正小标宋简体" w:eastAsia="方正小标宋简体" w:cs="方正小标宋简体"/>
          <w:b w:val="0"/>
          <w:bCs w:val="0"/>
          <w:sz w:val="36"/>
          <w:szCs w:val="36"/>
        </w:rPr>
        <w:t>年度信息披露报告</w:t>
      </w:r>
    </w:p>
    <w:p>
      <w:pPr>
        <w:pStyle w:val="2"/>
        <w:rPr>
          <w:rFonts w:hint="eastAsia" w:ascii="黑体" w:hAnsi="黑体" w:eastAsia="黑体" w:cs="黑体"/>
          <w:b w:val="0"/>
          <w:bCs w:val="0"/>
          <w:sz w:val="32"/>
          <w:szCs w:val="32"/>
        </w:rPr>
      </w:pPr>
      <w:bookmarkStart w:id="0" w:name="_Toc22242"/>
      <w:r>
        <w:rPr>
          <w:rFonts w:hint="eastAsia" w:ascii="黑体" w:hAnsi="黑体" w:eastAsia="黑体" w:cs="黑体"/>
          <w:b w:val="0"/>
          <w:bCs w:val="0"/>
          <w:sz w:val="32"/>
          <w:szCs w:val="32"/>
        </w:rPr>
        <w:t>一、重要提示</w:t>
      </w:r>
      <w:bookmarkEnd w:id="0"/>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汝阳兴福村镇银行</w:t>
      </w:r>
      <w:r>
        <w:rPr>
          <w:rFonts w:hint="eastAsia" w:ascii="仿宋_GB2312" w:hAnsi="仿宋_GB2312" w:eastAsia="仿宋_GB2312" w:cs="仿宋_GB2312"/>
          <w:sz w:val="32"/>
          <w:szCs w:val="32"/>
          <w:lang w:val="en-US" w:eastAsia="zh-CN"/>
        </w:rPr>
        <w:t>股份</w:t>
      </w:r>
      <w:r>
        <w:rPr>
          <w:rFonts w:hint="eastAsia" w:ascii="仿宋_GB2312" w:hAnsi="仿宋_GB2312" w:eastAsia="仿宋_GB2312" w:cs="仿宋_GB2312"/>
          <w:sz w:val="32"/>
          <w:szCs w:val="32"/>
        </w:rPr>
        <w:t>有限公司（以下简称“</w:t>
      </w:r>
      <w:r>
        <w:rPr>
          <w:rFonts w:hint="eastAsia" w:ascii="仿宋_GB2312" w:hAnsi="仿宋_GB2312" w:eastAsia="仿宋_GB2312" w:cs="仿宋_GB2312"/>
          <w:sz w:val="32"/>
          <w:szCs w:val="32"/>
          <w:lang w:eastAsia="zh-CN"/>
        </w:rPr>
        <w:t>汝阳兴福村镇银行</w:t>
      </w:r>
      <w:r>
        <w:rPr>
          <w:rFonts w:hint="eastAsia" w:ascii="仿宋_GB2312" w:hAnsi="仿宋_GB2312" w:eastAsia="仿宋_GB2312" w:cs="仿宋_GB2312"/>
          <w:sz w:val="32"/>
          <w:szCs w:val="32"/>
        </w:rPr>
        <w:t>”）保证本报告所载资料不存在任何虚假记载、误导性陈述或者重大遗漏，并对其内容的真实性、准确性、完整性、可比性负个别及连带责任。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汝阳兴福村镇银行2023</w:t>
      </w:r>
      <w:r>
        <w:rPr>
          <w:rFonts w:hint="eastAsia" w:ascii="仿宋_GB2312" w:hAnsi="仿宋_GB2312" w:eastAsia="仿宋_GB2312" w:cs="仿宋_GB2312"/>
          <w:sz w:val="32"/>
          <w:szCs w:val="32"/>
        </w:rPr>
        <w:t>年度经营情况已经由德勤华永会计师事务所(特殊普通合伙)审计，并且出具了标准无保留意见的审计报告。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汝阳兴福村镇银行</w:t>
      </w:r>
      <w:r>
        <w:rPr>
          <w:rFonts w:hint="eastAsia" w:ascii="仿宋_GB2312" w:hAnsi="仿宋_GB2312" w:eastAsia="仿宋_GB2312" w:cs="仿宋_GB2312"/>
          <w:sz w:val="32"/>
          <w:szCs w:val="32"/>
        </w:rPr>
        <w:t>董事长、财务负责人保证</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年度报告中财务信息的真实、完整。</w:t>
      </w:r>
    </w:p>
    <w:p>
      <w:pPr>
        <w:pStyle w:val="2"/>
        <w:rPr>
          <w:rFonts w:hint="eastAsia" w:ascii="黑体" w:hAnsi="黑体" w:eastAsia="黑体" w:cs="黑体"/>
          <w:b w:val="0"/>
          <w:bCs w:val="0"/>
          <w:sz w:val="32"/>
          <w:szCs w:val="32"/>
        </w:rPr>
      </w:pPr>
      <w:bookmarkStart w:id="1" w:name="_Toc12063"/>
      <w:r>
        <w:rPr>
          <w:rFonts w:hint="eastAsia" w:ascii="黑体" w:hAnsi="黑体" w:eastAsia="黑体" w:cs="黑体"/>
          <w:b w:val="0"/>
          <w:bCs w:val="0"/>
          <w:sz w:val="32"/>
          <w:szCs w:val="32"/>
          <w:lang w:eastAsia="zh-CN"/>
        </w:rPr>
        <w:t>二、汝阳兴福村镇银行</w:t>
      </w:r>
      <w:r>
        <w:rPr>
          <w:rFonts w:hint="eastAsia" w:ascii="黑体" w:hAnsi="黑体" w:eastAsia="黑体" w:cs="黑体"/>
          <w:b w:val="0"/>
          <w:bCs w:val="0"/>
          <w:sz w:val="32"/>
          <w:szCs w:val="32"/>
        </w:rPr>
        <w:t>基本情况简介</w:t>
      </w:r>
      <w:bookmarkEnd w:id="1"/>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520" w:lineRule="exact"/>
        <w:ind w:left="0" w:leftChars="0" w:right="0" w:rightChars="0" w:firstLine="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汝阳兴福村镇银行股份有限公司（原汝阳兴福村镇银行有限责任公司、汝阳常农商村镇银行有限责任公司）于</w:t>
      </w:r>
      <w:r>
        <w:rPr>
          <w:rFonts w:hint="eastAsia" w:ascii="仿宋_GB2312" w:hAnsi="仿宋_GB2312" w:eastAsia="仿宋_GB2312" w:cs="仿宋_GB2312"/>
          <w:sz w:val="32"/>
          <w:szCs w:val="32"/>
          <w:highlight w:val="none"/>
        </w:rPr>
        <w:t>201</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日经</w:t>
      </w:r>
      <w:r>
        <w:rPr>
          <w:rFonts w:hint="eastAsia" w:ascii="仿宋_GB2312" w:hAnsi="仿宋_GB2312" w:eastAsia="仿宋_GB2312" w:cs="仿宋_GB2312"/>
          <w:sz w:val="32"/>
          <w:szCs w:val="32"/>
          <w:highlight w:val="none"/>
          <w:lang w:eastAsia="zh-CN"/>
        </w:rPr>
        <w:t>河南银监局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河南银监局</w:t>
      </w:r>
      <w:r>
        <w:rPr>
          <w:rFonts w:hint="eastAsia" w:ascii="仿宋_GB2312" w:hAnsi="仿宋_GB2312" w:eastAsia="仿宋_GB2312" w:cs="仿宋_GB2312"/>
          <w:sz w:val="32"/>
          <w:szCs w:val="32"/>
          <w:highlight w:val="none"/>
        </w:rPr>
        <w:t>关于</w:t>
      </w:r>
      <w:r>
        <w:rPr>
          <w:rFonts w:hint="eastAsia" w:ascii="仿宋_GB2312" w:hAnsi="仿宋_GB2312" w:eastAsia="仿宋_GB2312" w:cs="仿宋_GB2312"/>
          <w:sz w:val="32"/>
          <w:szCs w:val="32"/>
          <w:highlight w:val="none"/>
          <w:lang w:eastAsia="zh-CN"/>
        </w:rPr>
        <w:t>同意汝阳常农商村镇银行有限责任公司筹建</w:t>
      </w:r>
      <w:r>
        <w:rPr>
          <w:rFonts w:hint="eastAsia" w:ascii="仿宋_GB2312" w:hAnsi="仿宋_GB2312" w:eastAsia="仿宋_GB2312" w:cs="仿宋_GB2312"/>
          <w:sz w:val="32"/>
          <w:szCs w:val="32"/>
          <w:highlight w:val="none"/>
        </w:rPr>
        <w:t>的批复》（</w:t>
      </w:r>
      <w:r>
        <w:rPr>
          <w:rFonts w:hint="eastAsia" w:ascii="仿宋_GB2312" w:hAnsi="仿宋_GB2312" w:eastAsia="仿宋_GB2312" w:cs="仿宋_GB2312"/>
          <w:sz w:val="32"/>
          <w:szCs w:val="32"/>
          <w:highlight w:val="none"/>
          <w:lang w:eastAsia="zh-CN"/>
        </w:rPr>
        <w:t>豫</w:t>
      </w:r>
      <w:r>
        <w:rPr>
          <w:rFonts w:hint="eastAsia" w:ascii="仿宋_GB2312" w:hAnsi="仿宋_GB2312" w:eastAsia="仿宋_GB2312" w:cs="仿宋_GB2312"/>
          <w:sz w:val="32"/>
          <w:szCs w:val="32"/>
          <w:highlight w:val="none"/>
        </w:rPr>
        <w:t>银监复〔201</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269</w:t>
      </w:r>
      <w:r>
        <w:rPr>
          <w:rFonts w:hint="eastAsia" w:ascii="仿宋_GB2312" w:hAnsi="仿宋_GB2312" w:eastAsia="仿宋_GB2312" w:cs="仿宋_GB2312"/>
          <w:sz w:val="32"/>
          <w:szCs w:val="32"/>
          <w:highlight w:val="none"/>
        </w:rPr>
        <w:t>号）批准筹建，201</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日经</w:t>
      </w:r>
      <w:r>
        <w:rPr>
          <w:rFonts w:hint="eastAsia" w:ascii="仿宋_GB2312" w:hAnsi="仿宋_GB2312" w:eastAsia="仿宋_GB2312" w:cs="仿宋_GB2312"/>
          <w:sz w:val="32"/>
          <w:szCs w:val="32"/>
          <w:highlight w:val="none"/>
          <w:lang w:eastAsia="zh-CN"/>
        </w:rPr>
        <w:t>洛阳银监分局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洛阳银监分局关于核准汝阳常农商村镇银行有限责任公司开业的批复</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洛</w:t>
      </w:r>
      <w:r>
        <w:rPr>
          <w:rFonts w:hint="eastAsia" w:ascii="仿宋_GB2312" w:hAnsi="仿宋_GB2312" w:eastAsia="仿宋_GB2312" w:cs="仿宋_GB2312"/>
          <w:sz w:val="32"/>
          <w:szCs w:val="32"/>
          <w:highlight w:val="none"/>
        </w:rPr>
        <w:t>银监复〔201</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号）批准开业，并于201</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日挂牌开业。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520" w:lineRule="exact"/>
        <w:ind w:left="0" w:leftChars="0" w:right="0" w:rightChars="0" w:firstLine="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2015年</w:t>
      </w:r>
      <w:r>
        <w:rPr>
          <w:rFonts w:hint="eastAsia" w:ascii="仿宋_GB2312" w:hAnsi="仿宋_GB2312" w:eastAsia="仿宋_GB2312" w:cs="仿宋_GB2312"/>
          <w:color w:val="auto"/>
          <w:kern w:val="0"/>
          <w:sz w:val="32"/>
          <w:szCs w:val="32"/>
          <w:highlight w:val="none"/>
          <w:lang w:val="en-US" w:eastAsia="zh-CN"/>
        </w:rPr>
        <w:t>12</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29</w:t>
      </w:r>
      <w:r>
        <w:rPr>
          <w:rFonts w:hint="eastAsia" w:ascii="仿宋_GB2312" w:hAnsi="仿宋_GB2312" w:eastAsia="仿宋_GB2312" w:cs="仿宋_GB2312"/>
          <w:color w:val="auto"/>
          <w:kern w:val="0"/>
          <w:sz w:val="32"/>
          <w:szCs w:val="32"/>
          <w:highlight w:val="none"/>
        </w:rPr>
        <w:t>日，根据《河南银监局关于同意</w:t>
      </w:r>
      <w:r>
        <w:rPr>
          <w:rFonts w:hint="eastAsia" w:ascii="仿宋_GB2312" w:hAnsi="仿宋_GB2312" w:eastAsia="仿宋_GB2312" w:cs="仿宋_GB2312"/>
          <w:color w:val="auto"/>
          <w:kern w:val="0"/>
          <w:sz w:val="32"/>
          <w:szCs w:val="32"/>
          <w:highlight w:val="none"/>
          <w:lang w:eastAsia="zh-CN"/>
        </w:rPr>
        <w:t>汝阳</w:t>
      </w:r>
      <w:r>
        <w:rPr>
          <w:rFonts w:hint="eastAsia" w:ascii="仿宋_GB2312" w:hAnsi="仿宋_GB2312" w:eastAsia="仿宋_GB2312" w:cs="仿宋_GB2312"/>
          <w:color w:val="auto"/>
          <w:kern w:val="0"/>
          <w:sz w:val="32"/>
          <w:szCs w:val="32"/>
          <w:highlight w:val="none"/>
        </w:rPr>
        <w:t>常农商村镇银行</w:t>
      </w:r>
      <w:r>
        <w:rPr>
          <w:rFonts w:hint="eastAsia" w:ascii="仿宋_GB2312" w:hAnsi="仿宋_GB2312" w:eastAsia="仿宋_GB2312" w:cs="仿宋_GB2312"/>
          <w:color w:val="auto"/>
          <w:kern w:val="0"/>
          <w:sz w:val="32"/>
          <w:szCs w:val="32"/>
          <w:highlight w:val="none"/>
          <w:lang w:eastAsia="zh-CN"/>
        </w:rPr>
        <w:t>有限责任</w:t>
      </w:r>
      <w:r>
        <w:rPr>
          <w:rFonts w:hint="eastAsia" w:ascii="仿宋_GB2312" w:hAnsi="仿宋_GB2312" w:eastAsia="仿宋_GB2312" w:cs="仿宋_GB2312"/>
          <w:color w:val="auto"/>
          <w:kern w:val="0"/>
          <w:sz w:val="32"/>
          <w:szCs w:val="32"/>
          <w:highlight w:val="none"/>
        </w:rPr>
        <w:t>公司更名的批复》（豫银监复</w:t>
      </w:r>
      <w:r>
        <w:rPr>
          <w:rFonts w:hint="eastAsia" w:ascii="仿宋_GB2312" w:hAnsi="仿宋_GB2312" w:eastAsia="仿宋_GB2312" w:cs="仿宋_GB2312"/>
          <w:sz w:val="32"/>
          <w:szCs w:val="32"/>
          <w:highlight w:val="none"/>
        </w:rPr>
        <w:t>〔201</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kern w:val="0"/>
          <w:sz w:val="32"/>
          <w:szCs w:val="32"/>
          <w:highlight w:val="none"/>
        </w:rPr>
        <w:t>46</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号）</w:t>
      </w:r>
      <w:r>
        <w:rPr>
          <w:rFonts w:hint="eastAsia" w:ascii="仿宋_GB2312" w:hAnsi="仿宋_GB2312" w:eastAsia="仿宋_GB2312" w:cs="仿宋_GB2312"/>
          <w:color w:val="auto"/>
          <w:kern w:val="0"/>
          <w:sz w:val="32"/>
          <w:szCs w:val="32"/>
          <w:highlight w:val="none"/>
          <w:lang w:val="en-US" w:eastAsia="zh-CN"/>
        </w:rPr>
        <w:t>，同意汝阳常农商村镇银行有限责任公司（简称：汝阳常农商村镇银行）更名为汝阳兴福村镇银行有限责任公司（简称：汝阳兴福村镇银行），英文名称变更为“RUYANGXINGFU COUNTY BANK Co.,Ltd.”（简称“XFCB”）。</w:t>
      </w:r>
    </w:p>
    <w:p>
      <w:pPr>
        <w:keepNext w:val="0"/>
        <w:keepLines w:val="0"/>
        <w:pageBreakBefore w:val="0"/>
        <w:widowControl/>
        <w:kinsoku/>
        <w:wordWrap w:val="0"/>
        <w:overflowPunct/>
        <w:topLinePunct w:val="0"/>
        <w:autoSpaceDE/>
        <w:autoSpaceDN/>
        <w:bidi w:val="0"/>
        <w:adjustRightInd/>
        <w:snapToGrid/>
        <w:spacing w:before="0" w:beforeLines="0" w:after="0" w:afterLines="0" w:line="520" w:lineRule="exact"/>
        <w:ind w:left="0" w:leftChars="0" w:right="0" w:rightChars="0" w:firstLine="6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rPr>
        <w:t>201</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lang w:val="en-US" w:eastAsia="zh-CN" w:bidi="ar"/>
        </w:rPr>
        <w:t>日，经洛阳市工商行政管理局核准，并颁发汝阳兴福村镇银行有限责任公司营业执照，统一社会信用代码：91410326326794517T。</w:t>
      </w:r>
    </w:p>
    <w:p>
      <w:pPr>
        <w:keepNext w:val="0"/>
        <w:keepLines w:val="0"/>
        <w:pageBreakBefore w:val="0"/>
        <w:widowControl/>
        <w:kinsoku/>
        <w:wordWrap w:val="0"/>
        <w:overflowPunct/>
        <w:topLinePunct w:val="0"/>
        <w:autoSpaceDE/>
        <w:autoSpaceDN/>
        <w:bidi w:val="0"/>
        <w:adjustRightInd/>
        <w:snapToGrid/>
        <w:spacing w:before="0" w:beforeLines="0" w:after="0" w:afterLines="0" w:line="520" w:lineRule="exact"/>
        <w:ind w:left="0" w:leftChars="0" w:right="0" w:rightChars="0" w:firstLine="6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2022年2月17日，根据《河南银保监局关于同意汝阳兴福村镇银行有限责任公司组织形式变更的批复》（豫金复〔2022〕33号），同意汝阳兴福村镇银行有限责任公司（简称：汝阳兴福村镇银行）更名为汝阳兴福村镇银行股份有限公司（简称：汝阳兴福村镇银行），英文名称不变。</w:t>
      </w:r>
    </w:p>
    <w:p>
      <w:pPr>
        <w:keepNext w:val="0"/>
        <w:keepLines w:val="0"/>
        <w:pageBreakBefore w:val="0"/>
        <w:widowControl/>
        <w:kinsoku/>
        <w:wordWrap w:val="0"/>
        <w:overflowPunct/>
        <w:topLinePunct w:val="0"/>
        <w:autoSpaceDE/>
        <w:autoSpaceDN/>
        <w:bidi w:val="0"/>
        <w:adjustRightInd/>
        <w:snapToGrid/>
        <w:spacing w:before="0" w:beforeLines="0" w:after="0" w:afterLines="0" w:line="520" w:lineRule="exact"/>
        <w:ind w:left="0" w:leftChars="0" w:right="0" w:rightChars="0" w:firstLine="6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2023年12月21日，经汝阳县市场监督管理局核准，颁发汝阳兴福村镇银行股份有限公司营业执照，统一社会信用代码：91410326326794517T。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（一）法定名称：</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法定中文名称：</w:t>
      </w:r>
      <w:r>
        <w:rPr>
          <w:rFonts w:hint="eastAsia" w:ascii="仿宋_GB2312" w:hAnsi="仿宋_GB2312" w:eastAsia="仿宋_GB2312" w:cs="仿宋_GB2312"/>
          <w:sz w:val="32"/>
          <w:szCs w:val="32"/>
          <w:lang w:eastAsia="zh-CN"/>
        </w:rPr>
        <w:t>汝阳兴福村镇银行</w:t>
      </w:r>
      <w:r>
        <w:rPr>
          <w:rFonts w:hint="eastAsia" w:ascii="仿宋_GB2312" w:hAnsi="仿宋_GB2312" w:eastAsia="仿宋_GB2312" w:cs="仿宋_GB2312"/>
          <w:sz w:val="32"/>
          <w:szCs w:val="32"/>
        </w:rPr>
        <w:t>股份有限公司</w:t>
      </w:r>
    </w:p>
    <w:p>
      <w:pPr>
        <w:widowControl/>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（简称）：</w:t>
      </w:r>
      <w:r>
        <w:rPr>
          <w:rFonts w:hint="eastAsia" w:ascii="仿宋_GB2312" w:hAnsi="仿宋_GB2312" w:eastAsia="仿宋_GB2312" w:cs="仿宋_GB2312"/>
          <w:sz w:val="32"/>
          <w:szCs w:val="32"/>
          <w:lang w:eastAsia="zh-CN"/>
        </w:rPr>
        <w:t>汝阳兴福村镇银行</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法定英文名称: </w:t>
      </w:r>
      <w:r>
        <w:rPr>
          <w:rFonts w:hint="eastAsia" w:ascii="仿宋_GB2312" w:hAnsi="仿宋_GB2312" w:eastAsia="仿宋_GB2312" w:cs="仿宋_GB2312"/>
          <w:sz w:val="32"/>
          <w:szCs w:val="32"/>
          <w:lang w:val="en-US" w:eastAsia="zh-CN"/>
        </w:rPr>
        <w:t xml:space="preserve">RUYANG </w:t>
      </w:r>
      <w:r>
        <w:rPr>
          <w:rFonts w:hint="eastAsia" w:ascii="仿宋_GB2312" w:hAnsi="仿宋_GB2312" w:eastAsia="仿宋_GB2312" w:cs="仿宋_GB2312"/>
          <w:sz w:val="32"/>
          <w:szCs w:val="32"/>
        </w:rPr>
        <w:t>XINGFU COUNTRY BANK Co.,Ltd</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（二）注册资本：</w:t>
      </w:r>
      <w:r>
        <w:rPr>
          <w:rFonts w:hint="eastAsia" w:ascii="仿宋_GB2312" w:hAnsi="仿宋_GB2312" w:eastAsia="仿宋_GB2312" w:cs="仿宋_GB2312"/>
          <w:sz w:val="32"/>
          <w:szCs w:val="32"/>
          <w:lang w:val="en-US" w:eastAsia="zh-CN"/>
        </w:rPr>
        <w:t>3000</w:t>
      </w:r>
      <w:r>
        <w:rPr>
          <w:rFonts w:hint="eastAsia" w:ascii="仿宋_GB2312" w:hAnsi="仿宋_GB2312" w:eastAsia="仿宋_GB2312" w:cs="仿宋_GB2312"/>
          <w:sz w:val="32"/>
          <w:szCs w:val="32"/>
        </w:rPr>
        <w:t>万元</w:t>
      </w:r>
    </w:p>
    <w:p>
      <w:pPr>
        <w:widowControl/>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（三）法定代表人：</w:t>
      </w:r>
      <w:r>
        <w:rPr>
          <w:rFonts w:hint="eastAsia" w:ascii="仿宋_GB2312" w:hAnsi="仿宋_GB2312" w:eastAsia="仿宋_GB2312" w:cs="仿宋_GB2312"/>
          <w:sz w:val="32"/>
          <w:szCs w:val="32"/>
          <w:lang w:eastAsia="zh-CN"/>
        </w:rPr>
        <w:t>朱国民</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（四）本行住所：</w:t>
      </w:r>
      <w:r>
        <w:rPr>
          <w:rFonts w:hint="eastAsia" w:ascii="仿宋_GB2312" w:hAnsi="仿宋_GB2312" w:eastAsia="仿宋_GB2312" w:cs="仿宋_GB2312"/>
          <w:sz w:val="32"/>
          <w:szCs w:val="32"/>
          <w:lang w:eastAsia="zh-CN"/>
        </w:rPr>
        <w:t>河南省汝阳县城关镇杜康大道东段路北</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（五）经营范围：</w:t>
      </w:r>
      <w:r>
        <w:rPr>
          <w:rFonts w:hint="eastAsia" w:ascii="仿宋_GB2312" w:hAnsi="仿宋_GB2312" w:eastAsia="仿宋_GB2312" w:cs="仿宋_GB2312"/>
          <w:sz w:val="32"/>
          <w:szCs w:val="32"/>
          <w:lang w:eastAsia="zh-CN"/>
        </w:rPr>
        <w:t>吸收公众存款；发放短期、中期和长期贷款；办理国内结算；从事同业拆借；从事银行卡业务；代理发行、代理兑付、承销政府债券；代理收付款项。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（六）部门及人员设置：</w:t>
      </w:r>
      <w:r>
        <w:rPr>
          <w:rFonts w:hint="eastAsia" w:ascii="仿宋_GB2312" w:hAnsi="仿宋_GB2312" w:eastAsia="仿宋_GB2312" w:cs="仿宋_GB2312"/>
          <w:sz w:val="32"/>
          <w:szCs w:val="32"/>
          <w:lang w:eastAsia="zh-CN"/>
        </w:rPr>
        <w:t>汝阳兴福村镇银行</w:t>
      </w:r>
      <w:r>
        <w:rPr>
          <w:rFonts w:hint="eastAsia" w:ascii="仿宋_GB2312" w:hAnsi="仿宋_GB2312" w:eastAsia="仿宋_GB2312" w:cs="仿宋_GB2312"/>
          <w:sz w:val="32"/>
          <w:szCs w:val="32"/>
        </w:rPr>
        <w:t>内设综合</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部、</w:t>
      </w:r>
      <w:r>
        <w:rPr>
          <w:rFonts w:hint="eastAsia" w:ascii="仿宋_GB2312" w:hAnsi="仿宋_GB2312" w:eastAsia="仿宋_GB2312" w:cs="仿宋_GB2312"/>
          <w:sz w:val="32"/>
          <w:szCs w:val="32"/>
          <w:lang w:eastAsia="zh-CN"/>
        </w:rPr>
        <w:t>风险管理部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营业部和普惠金融部</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个内部职能部门</w:t>
      </w:r>
      <w:r>
        <w:rPr>
          <w:rFonts w:hint="eastAsia" w:ascii="仿宋_GB2312" w:hAnsi="仿宋_GB2312" w:eastAsia="仿宋_GB2312" w:cs="仿宋_GB2312"/>
          <w:sz w:val="32"/>
          <w:szCs w:val="32"/>
          <w:lang w:eastAsia="zh-CN"/>
        </w:rPr>
        <w:t>，以及内埠、上店、小店、城区四家支行。现有职工</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lang w:eastAsia="zh-CN"/>
        </w:rPr>
        <w:t>人，其中本科学历</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lang w:eastAsia="zh-CN"/>
        </w:rPr>
        <w:t>人，占比</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lang w:eastAsia="zh-CN"/>
        </w:rPr>
        <w:t>%。</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（七）其他有关信息：</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成立日期：本行于201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日正式</w:t>
      </w:r>
      <w:r>
        <w:rPr>
          <w:rFonts w:hint="eastAsia" w:ascii="仿宋_GB2312" w:hAnsi="仿宋_GB2312" w:eastAsia="仿宋_GB2312" w:cs="仿宋_GB2312"/>
          <w:sz w:val="32"/>
          <w:szCs w:val="32"/>
          <w:lang w:eastAsia="zh-CN"/>
        </w:rPr>
        <w:t>成立</w:t>
      </w:r>
      <w:r>
        <w:rPr>
          <w:rFonts w:hint="eastAsia" w:ascii="仿宋_GB2312" w:hAnsi="仿宋_GB2312" w:eastAsia="仿宋_GB2312" w:cs="仿宋_GB2312"/>
          <w:sz w:val="32"/>
          <w:szCs w:val="32"/>
        </w:rPr>
        <w:t>。</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注册登记机关：</w:t>
      </w:r>
      <w:r>
        <w:rPr>
          <w:rFonts w:hint="eastAsia" w:ascii="仿宋_GB2312" w:hAnsi="仿宋_GB2312" w:eastAsia="仿宋_GB2312" w:cs="仿宋_GB2312"/>
          <w:sz w:val="32"/>
          <w:szCs w:val="32"/>
          <w:lang w:eastAsia="zh-CN"/>
        </w:rPr>
        <w:t>汝阳县</w:t>
      </w:r>
      <w:r>
        <w:rPr>
          <w:rFonts w:hint="eastAsia" w:ascii="仿宋_GB2312" w:hAnsi="仿宋_GB2312" w:eastAsia="仿宋_GB2312" w:cs="仿宋_GB2312"/>
          <w:sz w:val="32"/>
          <w:szCs w:val="32"/>
        </w:rPr>
        <w:t>市场监督管理局</w:t>
      </w:r>
    </w:p>
    <w:p>
      <w:pPr>
        <w:pStyle w:val="2"/>
        <w:rPr>
          <w:rFonts w:hint="eastAsia" w:ascii="黑体" w:hAnsi="黑体" w:eastAsia="黑体" w:cs="黑体"/>
          <w:b w:val="0"/>
          <w:bCs w:val="0"/>
          <w:sz w:val="32"/>
          <w:szCs w:val="32"/>
        </w:rPr>
      </w:pPr>
      <w:bookmarkStart w:id="2" w:name="_Toc10922"/>
      <w:r>
        <w:rPr>
          <w:rFonts w:hint="eastAsia" w:ascii="黑体" w:hAnsi="黑体" w:eastAsia="黑体" w:cs="黑体"/>
          <w:b w:val="0"/>
          <w:bCs w:val="0"/>
          <w:sz w:val="32"/>
          <w:szCs w:val="32"/>
        </w:rPr>
        <w:t>三、</w:t>
      </w:r>
      <w:r>
        <w:rPr>
          <w:rFonts w:hint="eastAsia" w:ascii="黑体" w:hAnsi="黑体" w:eastAsia="黑体" w:cs="黑体"/>
          <w:b w:val="0"/>
          <w:bCs w:val="0"/>
          <w:sz w:val="32"/>
          <w:szCs w:val="32"/>
          <w:lang w:eastAsia="zh-CN"/>
        </w:rPr>
        <w:t>汝阳兴福村镇银行</w:t>
      </w:r>
      <w:r>
        <w:rPr>
          <w:rFonts w:hint="eastAsia" w:ascii="黑体" w:hAnsi="黑体" w:eastAsia="黑体" w:cs="黑体"/>
          <w:b w:val="0"/>
          <w:bCs w:val="0"/>
          <w:sz w:val="32"/>
          <w:szCs w:val="32"/>
        </w:rPr>
        <w:t>股金变动及股东情况</w:t>
      </w:r>
      <w:bookmarkEnd w:id="2"/>
    </w:p>
    <w:p>
      <w:pPr>
        <w:tabs>
          <w:tab w:val="left" w:pos="7020"/>
        </w:tabs>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（一）股金及其变动情况</w:t>
      </w:r>
    </w:p>
    <w:tbl>
      <w:tblPr>
        <w:tblStyle w:val="10"/>
        <w:tblW w:w="0" w:type="auto"/>
        <w:jc w:val="center"/>
        <w:tblLayout w:type="fixed"/>
        <w:tblCellMar>
          <w:top w:w="0" w:type="dxa"/>
          <w:left w:w="108" w:type="dxa"/>
          <w:bottom w:w="0" w:type="dxa"/>
          <w:right w:w="108" w:type="dxa"/>
        </w:tblCellMar>
      </w:tblPr>
      <w:tblGrid>
        <w:gridCol w:w="1286"/>
        <w:gridCol w:w="915"/>
        <w:gridCol w:w="900"/>
        <w:gridCol w:w="915"/>
        <w:gridCol w:w="948"/>
        <w:gridCol w:w="852"/>
        <w:gridCol w:w="948"/>
        <w:gridCol w:w="885"/>
        <w:gridCol w:w="945"/>
        <w:gridCol w:w="987"/>
      </w:tblGrid>
      <w:tr>
        <w:tblPrEx>
          <w:tblCellMar>
            <w:top w:w="0" w:type="dxa"/>
            <w:left w:w="108" w:type="dxa"/>
            <w:bottom w:w="0" w:type="dxa"/>
            <w:right w:w="108" w:type="dxa"/>
          </w:tblCellMar>
        </w:tblPrEx>
        <w:trPr>
          <w:trHeight w:val="555" w:hRule="atLeast"/>
          <w:jc w:val="center"/>
        </w:trPr>
        <w:tc>
          <w:tcPr>
            <w:tcW w:w="9581" w:type="dxa"/>
            <w:gridSpan w:val="10"/>
            <w:noWrap w:val="0"/>
            <w:vAlign w:val="center"/>
          </w:tcPr>
          <w:p>
            <w:pPr>
              <w:widowControl/>
              <w:tabs>
                <w:tab w:val="left" w:pos="7020"/>
              </w:tabs>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
                <w:bCs/>
                <w:sz w:val="24"/>
                <w:szCs w:val="24"/>
                <w:lang w:eastAsia="zh-CN"/>
              </w:rPr>
              <w:t>汝阳兴福村镇银行</w:t>
            </w:r>
            <w:r>
              <w:rPr>
                <w:rFonts w:hint="eastAsia" w:ascii="仿宋_GB2312" w:hAnsi="仿宋_GB2312" w:eastAsia="仿宋_GB2312" w:cs="仿宋_GB2312"/>
                <w:b/>
                <w:bCs/>
                <w:kern w:val="0"/>
                <w:sz w:val="24"/>
                <w:szCs w:val="24"/>
              </w:rPr>
              <w:t>股金变动情况表</w:t>
            </w:r>
          </w:p>
        </w:tc>
      </w:tr>
      <w:tr>
        <w:tblPrEx>
          <w:tblCellMar>
            <w:top w:w="0" w:type="dxa"/>
            <w:left w:w="108" w:type="dxa"/>
            <w:bottom w:w="0" w:type="dxa"/>
            <w:right w:w="108" w:type="dxa"/>
          </w:tblCellMar>
        </w:tblPrEx>
        <w:trPr>
          <w:trHeight w:val="390" w:hRule="atLeast"/>
          <w:jc w:val="center"/>
        </w:trPr>
        <w:tc>
          <w:tcPr>
            <w:tcW w:w="9581" w:type="dxa"/>
            <w:gridSpan w:val="10"/>
            <w:noWrap w:val="0"/>
            <w:vAlign w:val="center"/>
          </w:tcPr>
          <w:p>
            <w:pPr>
              <w:widowControl/>
              <w:tabs>
                <w:tab w:val="left" w:pos="7020"/>
              </w:tabs>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r>
              <w:rPr>
                <w:rFonts w:hint="eastAsia" w:ascii="仿宋_GB2312" w:hAnsi="仿宋_GB2312" w:eastAsia="仿宋_GB2312" w:cs="仿宋_GB2312"/>
                <w:kern w:val="0"/>
                <w:sz w:val="24"/>
                <w:szCs w:val="24"/>
                <w:lang w:eastAsia="zh-CN"/>
              </w:rPr>
              <w:t>万</w:t>
            </w:r>
            <w:r>
              <w:rPr>
                <w:rFonts w:hint="eastAsia" w:ascii="仿宋_GB2312" w:hAnsi="仿宋_GB2312" w:eastAsia="仿宋_GB2312" w:cs="仿宋_GB2312"/>
                <w:kern w:val="0"/>
                <w:sz w:val="24"/>
                <w:szCs w:val="24"/>
              </w:rPr>
              <w:t>元、</w:t>
            </w:r>
            <w:r>
              <w:rPr>
                <w:rFonts w:hint="eastAsia" w:ascii="仿宋_GB2312" w:hAnsi="仿宋_GB2312" w:eastAsia="仿宋_GB2312" w:cs="仿宋_GB2312"/>
                <w:kern w:val="0"/>
                <w:sz w:val="24"/>
                <w:szCs w:val="24"/>
                <w:lang w:eastAsia="zh-CN"/>
              </w:rPr>
              <w:t>万</w:t>
            </w:r>
            <w:r>
              <w:rPr>
                <w:rFonts w:hint="eastAsia" w:ascii="仿宋_GB2312" w:hAnsi="仿宋_GB2312" w:eastAsia="仿宋_GB2312" w:cs="仿宋_GB2312"/>
                <w:kern w:val="0"/>
                <w:sz w:val="24"/>
                <w:szCs w:val="24"/>
              </w:rPr>
              <w:t>股、%</w:t>
            </w:r>
          </w:p>
        </w:tc>
      </w:tr>
      <w:tr>
        <w:tblPrEx>
          <w:tblCellMar>
            <w:top w:w="0" w:type="dxa"/>
            <w:left w:w="108" w:type="dxa"/>
            <w:bottom w:w="0" w:type="dxa"/>
            <w:right w:w="108" w:type="dxa"/>
          </w:tblCellMar>
        </w:tblPrEx>
        <w:trPr>
          <w:trHeight w:val="595"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股金</w:t>
            </w:r>
          </w:p>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分类</w:t>
            </w:r>
          </w:p>
        </w:tc>
        <w:tc>
          <w:tcPr>
            <w:tcW w:w="1815" w:type="dxa"/>
            <w:gridSpan w:val="2"/>
            <w:tcBorders>
              <w:top w:val="single" w:color="auto" w:sz="4" w:space="0"/>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年初数</w:t>
            </w:r>
          </w:p>
        </w:tc>
        <w:tc>
          <w:tcPr>
            <w:tcW w:w="4548" w:type="dxa"/>
            <w:gridSpan w:val="5"/>
            <w:tcBorders>
              <w:top w:val="single" w:color="auto" w:sz="4" w:space="0"/>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本年度变动（+ -）</w:t>
            </w:r>
          </w:p>
        </w:tc>
        <w:tc>
          <w:tcPr>
            <w:tcW w:w="1932" w:type="dxa"/>
            <w:gridSpan w:val="2"/>
            <w:tcBorders>
              <w:top w:val="single" w:color="auto" w:sz="4" w:space="0"/>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变动后</w:t>
            </w:r>
          </w:p>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年末数</w:t>
            </w:r>
          </w:p>
        </w:tc>
      </w:tr>
      <w:tr>
        <w:tblPrEx>
          <w:tblCellMar>
            <w:top w:w="0" w:type="dxa"/>
            <w:left w:w="108" w:type="dxa"/>
            <w:bottom w:w="0" w:type="dxa"/>
            <w:right w:w="108" w:type="dxa"/>
          </w:tblCellMar>
        </w:tblPrEx>
        <w:trPr>
          <w:trHeight w:val="716"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020"/>
              </w:tabs>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比例</w:t>
            </w:r>
          </w:p>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增资</w:t>
            </w:r>
          </w:p>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扩股</w:t>
            </w:r>
          </w:p>
        </w:tc>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转让</w:t>
            </w:r>
          </w:p>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股金</w:t>
            </w: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退股</w:t>
            </w:r>
          </w:p>
        </w:tc>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转为投资股</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数量</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比例</w:t>
            </w:r>
          </w:p>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r>
      <w:tr>
        <w:tblPrEx>
          <w:tblCellMar>
            <w:top w:w="0" w:type="dxa"/>
            <w:left w:w="108" w:type="dxa"/>
            <w:bottom w:w="0" w:type="dxa"/>
            <w:right w:w="108" w:type="dxa"/>
          </w:tblCellMar>
        </w:tblPrEx>
        <w:trPr>
          <w:trHeight w:val="503"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投资股东</w:t>
            </w:r>
          </w:p>
        </w:tc>
        <w:tc>
          <w:tcPr>
            <w:tcW w:w="915" w:type="dxa"/>
            <w:tcBorders>
              <w:top w:val="single" w:color="auto" w:sz="4" w:space="0"/>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w:t>
            </w:r>
          </w:p>
        </w:tc>
        <w:tc>
          <w:tcPr>
            <w:tcW w:w="900" w:type="dxa"/>
            <w:tcBorders>
              <w:top w:val="single" w:color="auto" w:sz="4" w:space="0"/>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c>
          <w:tcPr>
            <w:tcW w:w="915" w:type="dxa"/>
            <w:tcBorders>
              <w:top w:val="single" w:color="auto" w:sz="4" w:space="0"/>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948" w:type="dxa"/>
            <w:tcBorders>
              <w:top w:val="single" w:color="auto" w:sz="4" w:space="0"/>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150</w:t>
            </w:r>
          </w:p>
        </w:tc>
        <w:tc>
          <w:tcPr>
            <w:tcW w:w="852" w:type="dxa"/>
            <w:tcBorders>
              <w:top w:val="single" w:color="auto" w:sz="4" w:space="0"/>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948" w:type="dxa"/>
            <w:tcBorders>
              <w:top w:val="single" w:color="auto" w:sz="4" w:space="0"/>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885" w:type="dxa"/>
            <w:tcBorders>
              <w:top w:val="single" w:color="auto" w:sz="4" w:space="0"/>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945" w:type="dxa"/>
            <w:tcBorders>
              <w:top w:val="single" w:color="auto" w:sz="4" w:space="0"/>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w:t>
            </w:r>
          </w:p>
        </w:tc>
        <w:tc>
          <w:tcPr>
            <w:tcW w:w="987" w:type="dxa"/>
            <w:tcBorders>
              <w:top w:val="single" w:color="auto" w:sz="4" w:space="0"/>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r>
      <w:tr>
        <w:tblPrEx>
          <w:tblCellMar>
            <w:top w:w="0" w:type="dxa"/>
            <w:left w:w="108" w:type="dxa"/>
            <w:bottom w:w="0" w:type="dxa"/>
            <w:right w:w="108" w:type="dxa"/>
          </w:tblCellMar>
        </w:tblPrEx>
        <w:trPr>
          <w:trHeight w:val="463" w:hRule="atLeast"/>
          <w:jc w:val="center"/>
        </w:trPr>
        <w:tc>
          <w:tcPr>
            <w:tcW w:w="1286" w:type="dxa"/>
            <w:tcBorders>
              <w:top w:val="nil"/>
              <w:left w:val="single" w:color="auto" w:sz="4" w:space="0"/>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股本总额</w:t>
            </w:r>
          </w:p>
        </w:tc>
        <w:tc>
          <w:tcPr>
            <w:tcW w:w="915" w:type="dxa"/>
            <w:tcBorders>
              <w:top w:val="nil"/>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3000</w:t>
            </w:r>
          </w:p>
        </w:tc>
        <w:tc>
          <w:tcPr>
            <w:tcW w:w="900" w:type="dxa"/>
            <w:tcBorders>
              <w:top w:val="nil"/>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c>
          <w:tcPr>
            <w:tcW w:w="915" w:type="dxa"/>
            <w:tcBorders>
              <w:top w:val="nil"/>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0</w:t>
            </w:r>
          </w:p>
        </w:tc>
        <w:tc>
          <w:tcPr>
            <w:tcW w:w="948" w:type="dxa"/>
            <w:tcBorders>
              <w:top w:val="nil"/>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852" w:type="dxa"/>
            <w:tcBorders>
              <w:top w:val="nil"/>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948" w:type="dxa"/>
            <w:tcBorders>
              <w:top w:val="nil"/>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885" w:type="dxa"/>
            <w:tcBorders>
              <w:top w:val="nil"/>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945" w:type="dxa"/>
            <w:tcBorders>
              <w:top w:val="nil"/>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3000</w:t>
            </w:r>
          </w:p>
        </w:tc>
        <w:tc>
          <w:tcPr>
            <w:tcW w:w="987" w:type="dxa"/>
            <w:tcBorders>
              <w:top w:val="nil"/>
              <w:left w:val="nil"/>
              <w:bottom w:val="single" w:color="auto" w:sz="4" w:space="0"/>
              <w:right w:val="single" w:color="auto" w:sz="4" w:space="0"/>
            </w:tcBorders>
            <w:noWrap w:val="0"/>
            <w:vAlign w:val="center"/>
          </w:tcPr>
          <w:p>
            <w:pPr>
              <w:widowControl/>
              <w:tabs>
                <w:tab w:val="left" w:pos="7020"/>
              </w:tabs>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r>
    </w:tbl>
    <w:p>
      <w:pPr>
        <w:tabs>
          <w:tab w:val="left" w:pos="3690"/>
          <w:tab w:val="left" w:pos="5580"/>
        </w:tabs>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（二）股东情况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报告期末，</w:t>
      </w:r>
      <w:r>
        <w:rPr>
          <w:rFonts w:hint="eastAsia" w:ascii="仿宋_GB2312" w:hAnsi="仿宋_GB2312" w:eastAsia="仿宋_GB2312" w:cs="仿宋_GB2312"/>
          <w:sz w:val="32"/>
          <w:szCs w:val="32"/>
          <w:lang w:eastAsia="zh-CN"/>
        </w:rPr>
        <w:t>汝阳兴福村镇银行</w:t>
      </w:r>
      <w:r>
        <w:rPr>
          <w:rFonts w:hint="eastAsia" w:ascii="仿宋_GB2312" w:hAnsi="仿宋_GB2312" w:eastAsia="仿宋_GB2312" w:cs="仿宋_GB2312"/>
          <w:sz w:val="32"/>
          <w:szCs w:val="32"/>
        </w:rPr>
        <w:t>股东总数为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法人股东</w:t>
      </w:r>
      <w:r>
        <w:rPr>
          <w:rFonts w:hint="eastAsia" w:ascii="仿宋_GB2312" w:hAnsi="仿宋_GB2312" w:eastAsia="仿宋_GB2312" w:cs="仿宋_GB2312"/>
          <w:sz w:val="32"/>
          <w:szCs w:val="32"/>
          <w:lang w:val="en-US" w:eastAsia="zh-CN"/>
        </w:rPr>
        <w:t>2户，自然人股东6户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eastAsia="zh-CN"/>
        </w:rPr>
        <w:t>其中：自然人股东全是社会自然人。</w:t>
      </w:r>
    </w:p>
    <w:p>
      <w:pPr>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r>
        <w:rPr>
          <w:rFonts w:hint="eastAsia" w:ascii="黑体" w:hAnsi="黑体" w:eastAsia="黑体" w:cs="黑体"/>
          <w:b w:val="0"/>
          <w:bCs/>
          <w:sz w:val="32"/>
          <w:szCs w:val="32"/>
        </w:rPr>
        <w:t xml:space="preserve">  </w:t>
      </w:r>
      <w:bookmarkStart w:id="3" w:name="_Toc1076"/>
      <w:r>
        <w:rPr>
          <w:rStyle w:val="14"/>
          <w:rFonts w:hint="eastAsia" w:ascii="黑体" w:hAnsi="黑体" w:eastAsia="黑体" w:cs="黑体"/>
          <w:b w:val="0"/>
          <w:bCs/>
          <w:sz w:val="32"/>
          <w:szCs w:val="32"/>
        </w:rPr>
        <w:t>四、</w:t>
      </w:r>
      <w:r>
        <w:rPr>
          <w:rStyle w:val="14"/>
          <w:rFonts w:hint="eastAsia" w:ascii="黑体" w:hAnsi="黑体" w:eastAsia="黑体" w:cs="黑体"/>
          <w:b w:val="0"/>
          <w:bCs/>
          <w:sz w:val="32"/>
          <w:szCs w:val="32"/>
          <w:lang w:eastAsia="zh-CN"/>
        </w:rPr>
        <w:t>汝阳兴福村镇银行</w:t>
      </w:r>
      <w:r>
        <w:rPr>
          <w:rStyle w:val="14"/>
          <w:rFonts w:hint="eastAsia" w:ascii="黑体" w:hAnsi="黑体" w:eastAsia="黑体" w:cs="黑体"/>
          <w:b w:val="0"/>
          <w:bCs/>
          <w:sz w:val="32"/>
          <w:szCs w:val="32"/>
        </w:rPr>
        <w:t>法人治理结构和运作情况</w:t>
      </w:r>
      <w:bookmarkEnd w:id="3"/>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（一）法人治理结构和内控制度建设情况简介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汝阳兴福村镇银行</w:t>
      </w:r>
      <w:r>
        <w:rPr>
          <w:rFonts w:hint="eastAsia" w:ascii="仿宋_GB2312" w:hAnsi="仿宋_GB2312" w:eastAsia="仿宋_GB2312" w:cs="仿宋_GB2312"/>
          <w:sz w:val="32"/>
          <w:szCs w:val="32"/>
        </w:rPr>
        <w:t>按照银保监会的有关规定，完善法人治理结构，设立股东会、董事会、监事会、高级管理层。股东会是</w:t>
      </w:r>
      <w:r>
        <w:rPr>
          <w:rFonts w:hint="eastAsia" w:ascii="仿宋_GB2312" w:hAnsi="仿宋_GB2312" w:eastAsia="仿宋_GB2312" w:cs="仿宋_GB2312"/>
          <w:sz w:val="32"/>
          <w:szCs w:val="32"/>
          <w:lang w:eastAsia="zh-CN"/>
        </w:rPr>
        <w:t>汝阳兴福村镇银行</w:t>
      </w:r>
      <w:r>
        <w:rPr>
          <w:rFonts w:hint="eastAsia" w:ascii="仿宋_GB2312" w:hAnsi="仿宋_GB2312" w:eastAsia="仿宋_GB2312" w:cs="仿宋_GB2312"/>
          <w:sz w:val="32"/>
          <w:szCs w:val="32"/>
        </w:rPr>
        <w:t>的权力机构，对重大事项做出决议。董事会是股东会的执行机构和本行经营决策机构，对股东会负责；作为投资人的代表，董事会负责重大事项的决策，并承担因决策失误造成经营损失的直接责任。监事会是</w:t>
      </w:r>
      <w:r>
        <w:rPr>
          <w:rFonts w:hint="eastAsia" w:ascii="仿宋_GB2312" w:hAnsi="仿宋_GB2312" w:eastAsia="仿宋_GB2312" w:cs="仿宋_GB2312"/>
          <w:sz w:val="32"/>
          <w:szCs w:val="32"/>
          <w:lang w:eastAsia="zh-CN"/>
        </w:rPr>
        <w:t>汝阳兴福村镇银行</w:t>
      </w:r>
      <w:r>
        <w:rPr>
          <w:rFonts w:hint="eastAsia" w:ascii="仿宋_GB2312" w:hAnsi="仿宋_GB2312" w:eastAsia="仿宋_GB2312" w:cs="仿宋_GB2312"/>
          <w:sz w:val="32"/>
          <w:szCs w:val="32"/>
        </w:rPr>
        <w:t>的监督人员，对股东会负责，代表股东及其他利益相关者对董事会和高级管理层的行为进行监督。高级管理层实行董事会领导下的行长负责制，执行董事会决议，实行任期目标管理，履行经营管理职责，对经营不善或违规经营等造成的损失承担主要责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1、股东会由全体股东组成，是</w:t>
      </w:r>
      <w:r>
        <w:rPr>
          <w:rFonts w:hint="eastAsia" w:ascii="仿宋_GB2312" w:hAnsi="仿宋_GB2312" w:eastAsia="仿宋_GB2312" w:cs="仿宋_GB2312"/>
          <w:sz w:val="32"/>
          <w:szCs w:val="32"/>
          <w:lang w:eastAsia="zh-CN"/>
        </w:rPr>
        <w:t>汝阳兴福村镇银行</w:t>
      </w:r>
      <w:r>
        <w:rPr>
          <w:rFonts w:hint="eastAsia" w:ascii="仿宋_GB2312" w:hAnsi="仿宋_GB2312" w:eastAsia="仿宋_GB2312" w:cs="仿宋_GB2312"/>
          <w:sz w:val="32"/>
          <w:szCs w:val="32"/>
        </w:rPr>
        <w:t>的权力机构。依法对有关重大事项做出决策，包括审议批准利润分配方案、年度财务预算方案和决算方案、弥补亏损方案、注册资本的改变、发行债券、合并、分立以及修改公司章程等。股东可亲自出席股东会，也可委托代理人代为出席和表决。股东（包括代理人）出席股东会，所持每一股份有一票表决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2、董事会由股东会选举产生的董事组成，是股东会的执行机构和</w:t>
      </w:r>
      <w:r>
        <w:rPr>
          <w:rFonts w:hint="eastAsia" w:ascii="仿宋_GB2312" w:hAnsi="仿宋_GB2312" w:eastAsia="仿宋_GB2312" w:cs="仿宋_GB2312"/>
          <w:sz w:val="32"/>
          <w:szCs w:val="32"/>
          <w:lang w:eastAsia="zh-CN"/>
        </w:rPr>
        <w:t>汝阳兴福村镇银行</w:t>
      </w:r>
      <w:r>
        <w:rPr>
          <w:rFonts w:hint="eastAsia" w:ascii="仿宋_GB2312" w:hAnsi="仿宋_GB2312" w:eastAsia="仿宋_GB2312" w:cs="仿宋_GB2312"/>
          <w:sz w:val="32"/>
          <w:szCs w:val="32"/>
        </w:rPr>
        <w:t>的经营决策机构，对股东会负责。董事会设</w:t>
      </w:r>
      <w:r>
        <w:rPr>
          <w:rFonts w:hint="eastAsia" w:ascii="仿宋_GB2312" w:hAnsi="仿宋_GB2312" w:eastAsia="仿宋_GB2312" w:cs="仿宋_GB2312"/>
          <w:sz w:val="32"/>
          <w:szCs w:val="32"/>
          <w:lang w:val="en-US" w:eastAsia="zh-CN"/>
        </w:rPr>
        <w:t>5名</w:t>
      </w:r>
      <w:r>
        <w:rPr>
          <w:rFonts w:hint="eastAsia" w:ascii="仿宋_GB2312" w:hAnsi="仿宋_GB2312" w:eastAsia="仿宋_GB2312" w:cs="仿宋_GB2312"/>
          <w:sz w:val="32"/>
          <w:szCs w:val="32"/>
        </w:rPr>
        <w:t>董事</w:t>
      </w:r>
      <w:r>
        <w:rPr>
          <w:rFonts w:hint="eastAsia" w:ascii="仿宋_GB2312" w:hAnsi="仿宋_GB2312" w:eastAsia="仿宋_GB2312" w:cs="仿宋_GB2312"/>
          <w:sz w:val="32"/>
          <w:szCs w:val="32"/>
          <w:lang w:eastAsia="zh-CN"/>
        </w:rPr>
        <w:t>（其中两位董事任职资格正在审核中）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职工董事</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人，独立董事</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rPr>
        <w:t>董事会设董事长1人，董事长为法定代表人，由董事提名，经董事过半数选举产生，报经银</w:t>
      </w:r>
      <w:r>
        <w:rPr>
          <w:rFonts w:hint="eastAsia" w:ascii="仿宋_GB2312" w:hAnsi="仿宋_GB2312" w:eastAsia="仿宋_GB2312" w:cs="仿宋_GB2312"/>
          <w:sz w:val="32"/>
          <w:szCs w:val="32"/>
          <w:highlight w:val="none"/>
          <w:lang w:eastAsia="zh-CN"/>
        </w:rPr>
        <w:t>行保险监督</w:t>
      </w:r>
      <w:r>
        <w:rPr>
          <w:rFonts w:hint="eastAsia" w:ascii="仿宋_GB2312" w:hAnsi="仿宋_GB2312" w:eastAsia="仿宋_GB2312" w:cs="仿宋_GB2312"/>
          <w:sz w:val="32"/>
          <w:szCs w:val="32"/>
          <w:highlight w:val="none"/>
        </w:rPr>
        <w:t>管理机构核准任职资格后履行职责。董事每届任期3年，可连选连任。董事会作为投资人的代表，负责重大事项的决策，并承担因决策失误造成经营损失的直接责任</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3、监事会由</w:t>
      </w:r>
      <w:r>
        <w:rPr>
          <w:rFonts w:hint="eastAsia" w:ascii="仿宋_GB2312" w:hAnsi="仿宋_GB2312" w:eastAsia="仿宋_GB2312" w:cs="仿宋_GB2312"/>
          <w:sz w:val="32"/>
          <w:szCs w:val="32"/>
          <w:lang w:eastAsia="zh-CN"/>
        </w:rPr>
        <w:t>职工监事和</w:t>
      </w:r>
      <w:r>
        <w:rPr>
          <w:rFonts w:hint="eastAsia" w:ascii="仿宋_GB2312" w:hAnsi="仿宋_GB2312" w:eastAsia="仿宋_GB2312" w:cs="仿宋_GB2312"/>
          <w:sz w:val="32"/>
          <w:szCs w:val="32"/>
        </w:rPr>
        <w:t>股东会选举的外部监事组成，为</w:t>
      </w:r>
      <w:r>
        <w:rPr>
          <w:rFonts w:hint="eastAsia" w:ascii="仿宋_GB2312" w:hAnsi="仿宋_GB2312" w:eastAsia="仿宋_GB2312" w:cs="仿宋_GB2312"/>
          <w:sz w:val="32"/>
          <w:szCs w:val="32"/>
          <w:lang w:eastAsia="zh-CN"/>
        </w:rPr>
        <w:t>汝阳兴福村镇银行</w:t>
      </w:r>
      <w:r>
        <w:rPr>
          <w:rFonts w:hint="eastAsia" w:ascii="仿宋_GB2312" w:hAnsi="仿宋_GB2312" w:eastAsia="仿宋_GB2312" w:cs="仿宋_GB2312"/>
          <w:sz w:val="32"/>
          <w:szCs w:val="32"/>
        </w:rPr>
        <w:t>的监督机构，对股东会负责。监事会设监事3人，其中监事长1人，职工监事</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，外部</w:t>
      </w:r>
      <w:r>
        <w:rPr>
          <w:rFonts w:hint="eastAsia" w:ascii="仿宋_GB2312" w:hAnsi="仿宋_GB2312" w:eastAsia="仿宋_GB2312" w:cs="仿宋_GB2312"/>
          <w:sz w:val="32"/>
          <w:szCs w:val="32"/>
        </w:rPr>
        <w:t>监事1人，监事长由</w:t>
      </w:r>
      <w:r>
        <w:rPr>
          <w:rFonts w:hint="eastAsia" w:ascii="仿宋_GB2312" w:hAnsi="仿宋_GB2312" w:eastAsia="仿宋_GB2312" w:cs="仿宋_GB2312"/>
          <w:sz w:val="32"/>
          <w:szCs w:val="32"/>
          <w:lang w:val="en-US" w:eastAsia="zh-CN"/>
        </w:rPr>
        <w:t>监事会</w:t>
      </w:r>
      <w:r>
        <w:rPr>
          <w:rFonts w:hint="eastAsia" w:ascii="仿宋_GB2312" w:hAnsi="仿宋_GB2312" w:eastAsia="仿宋_GB2312" w:cs="仿宋_GB2312"/>
          <w:sz w:val="32"/>
          <w:szCs w:val="32"/>
        </w:rPr>
        <w:t>提名，经</w:t>
      </w:r>
      <w:r>
        <w:rPr>
          <w:rFonts w:hint="eastAsia" w:ascii="仿宋_GB2312" w:hAnsi="仿宋_GB2312" w:eastAsia="仿宋_GB2312" w:cs="仿宋_GB2312"/>
          <w:sz w:val="32"/>
          <w:szCs w:val="32"/>
          <w:lang w:val="en-US" w:eastAsia="zh-CN"/>
        </w:rPr>
        <w:t>监事会</w:t>
      </w:r>
      <w:r>
        <w:rPr>
          <w:rFonts w:hint="eastAsia" w:ascii="仿宋_GB2312" w:hAnsi="仿宋_GB2312" w:eastAsia="仿宋_GB2312" w:cs="仿宋_GB2312"/>
          <w:sz w:val="32"/>
          <w:szCs w:val="32"/>
        </w:rPr>
        <w:t>过半数选举产生，报经银行业监督管理机构备案后履行职责。</w:t>
      </w:r>
      <w:r>
        <w:rPr>
          <w:rFonts w:hint="eastAsia" w:ascii="仿宋_GB2312" w:hAnsi="仿宋_GB2312" w:eastAsia="仿宋_GB2312" w:cs="仿宋_GB2312"/>
          <w:sz w:val="32"/>
          <w:szCs w:val="32"/>
          <w:lang w:eastAsia="zh-CN"/>
        </w:rPr>
        <w:t>汝阳兴福村镇银行</w:t>
      </w:r>
      <w:r>
        <w:rPr>
          <w:rFonts w:hint="eastAsia" w:ascii="仿宋_GB2312" w:hAnsi="仿宋_GB2312" w:eastAsia="仿宋_GB2312" w:cs="仿宋_GB2312"/>
          <w:sz w:val="32"/>
          <w:szCs w:val="32"/>
        </w:rPr>
        <w:t>董事会成员、行长、副行长、行长助理及财务主管均不得担任监事。监事分别依照章程及各自的议事规则履行职责。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高级管理层配备行长1人、行长助理1人。行长由董事长提名，经董事会表决通过，报经银行业监督管理机构核准任职资格后由董事会聘任，并根据董事会授权组织开展全行的经营管理活动。行长助理人选由行长提名，经董事会表决通过，报经银行业监督管理机构核准任职资格后由董事会聘任。行长每届任期3年，可连聘连任。行长离任时，须接受离任审计。</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5、为提高法人治理机制运行效果，有效发挥权力机构、决策机构、监督机构以及高级管理层之间的制衡作用，分别制定了“三会”和高级管理层的议事规则，《</w:t>
      </w:r>
      <w:r>
        <w:rPr>
          <w:rFonts w:hint="eastAsia" w:ascii="仿宋_GB2312" w:hAnsi="仿宋_GB2312" w:eastAsia="仿宋_GB2312" w:cs="仿宋_GB2312"/>
          <w:sz w:val="32"/>
          <w:szCs w:val="32"/>
          <w:lang w:eastAsia="zh-CN"/>
        </w:rPr>
        <w:t>汝阳兴福村镇银行</w:t>
      </w:r>
      <w:r>
        <w:rPr>
          <w:rFonts w:hint="eastAsia" w:ascii="仿宋_GB2312" w:hAnsi="仿宋_GB2312" w:eastAsia="仿宋_GB2312" w:cs="仿宋_GB2312"/>
          <w:sz w:val="32"/>
          <w:szCs w:val="32"/>
        </w:rPr>
        <w:t>股东大会会议制度》、《</w:t>
      </w:r>
      <w:r>
        <w:rPr>
          <w:rFonts w:hint="eastAsia" w:ascii="仿宋_GB2312" w:hAnsi="仿宋_GB2312" w:eastAsia="仿宋_GB2312" w:cs="仿宋_GB2312"/>
          <w:sz w:val="32"/>
          <w:szCs w:val="32"/>
          <w:lang w:eastAsia="zh-CN"/>
        </w:rPr>
        <w:t>汝阳兴福村镇银行</w:t>
      </w:r>
      <w:r>
        <w:rPr>
          <w:rFonts w:hint="eastAsia" w:ascii="仿宋_GB2312" w:hAnsi="仿宋_GB2312" w:eastAsia="仿宋_GB2312" w:cs="仿宋_GB2312"/>
          <w:sz w:val="32"/>
          <w:szCs w:val="32"/>
        </w:rPr>
        <w:t>股东大会议事规则》和董事、监事、高级管理人员的《</w:t>
      </w:r>
      <w:r>
        <w:rPr>
          <w:rFonts w:hint="eastAsia" w:ascii="仿宋_GB2312" w:hAnsi="仿宋_GB2312" w:eastAsia="仿宋_GB2312" w:cs="仿宋_GB2312"/>
          <w:sz w:val="32"/>
          <w:szCs w:val="32"/>
          <w:lang w:eastAsia="zh-CN"/>
        </w:rPr>
        <w:t>汝阳兴福村镇银行</w:t>
      </w:r>
      <w:r>
        <w:rPr>
          <w:rFonts w:hint="eastAsia" w:ascii="仿宋_GB2312" w:hAnsi="仿宋_GB2312" w:eastAsia="仿宋_GB2312" w:cs="仿宋_GB2312"/>
          <w:sz w:val="32"/>
          <w:szCs w:val="32"/>
        </w:rPr>
        <w:t>董事选举办法》、《</w:t>
      </w:r>
      <w:r>
        <w:rPr>
          <w:rFonts w:hint="eastAsia" w:ascii="仿宋_GB2312" w:hAnsi="仿宋_GB2312" w:eastAsia="仿宋_GB2312" w:cs="仿宋_GB2312"/>
          <w:sz w:val="32"/>
          <w:szCs w:val="32"/>
          <w:lang w:eastAsia="zh-CN"/>
        </w:rPr>
        <w:t>汝阳兴福村镇银行</w:t>
      </w:r>
      <w:r>
        <w:rPr>
          <w:rFonts w:hint="eastAsia" w:ascii="仿宋_GB2312" w:hAnsi="仿宋_GB2312" w:eastAsia="仿宋_GB2312" w:cs="仿宋_GB2312"/>
          <w:sz w:val="32"/>
          <w:szCs w:val="32"/>
        </w:rPr>
        <w:t>股份有限公司董事薪酬管理办法》、《</w:t>
      </w:r>
      <w:r>
        <w:rPr>
          <w:rFonts w:hint="eastAsia" w:ascii="仿宋_GB2312" w:hAnsi="仿宋_GB2312" w:eastAsia="仿宋_GB2312" w:cs="仿宋_GB2312"/>
          <w:sz w:val="32"/>
          <w:szCs w:val="32"/>
          <w:lang w:eastAsia="zh-CN"/>
        </w:rPr>
        <w:t>汝阳兴福村镇银行</w:t>
      </w:r>
      <w:r>
        <w:rPr>
          <w:rFonts w:hint="eastAsia" w:ascii="仿宋_GB2312" w:hAnsi="仿宋_GB2312" w:eastAsia="仿宋_GB2312" w:cs="仿宋_GB2312"/>
          <w:sz w:val="32"/>
          <w:szCs w:val="32"/>
        </w:rPr>
        <w:t>监事选举办法》、《</w:t>
      </w:r>
      <w:r>
        <w:rPr>
          <w:rFonts w:hint="eastAsia" w:ascii="仿宋_GB2312" w:hAnsi="仿宋_GB2312" w:eastAsia="仿宋_GB2312" w:cs="仿宋_GB2312"/>
          <w:sz w:val="32"/>
          <w:szCs w:val="32"/>
          <w:lang w:eastAsia="zh-CN"/>
        </w:rPr>
        <w:t>汝阳兴福村镇银行</w:t>
      </w:r>
      <w:r>
        <w:rPr>
          <w:rFonts w:hint="eastAsia" w:ascii="仿宋_GB2312" w:hAnsi="仿宋_GB2312" w:eastAsia="仿宋_GB2312" w:cs="仿宋_GB2312"/>
          <w:sz w:val="32"/>
          <w:szCs w:val="32"/>
        </w:rPr>
        <w:t>股份有限公司</w:t>
      </w:r>
      <w:r>
        <w:rPr>
          <w:rFonts w:hint="eastAsia" w:ascii="仿宋_GB2312" w:hAnsi="仿宋_GB2312" w:eastAsia="仿宋_GB2312" w:cs="仿宋_GB2312"/>
          <w:sz w:val="32"/>
          <w:szCs w:val="32"/>
          <w:lang w:val="en-US" w:eastAsia="zh-CN"/>
        </w:rPr>
        <w:t>监事</w:t>
      </w:r>
      <w:r>
        <w:rPr>
          <w:rFonts w:hint="eastAsia" w:ascii="仿宋_GB2312" w:hAnsi="仿宋_GB2312" w:eastAsia="仿宋_GB2312" w:cs="仿宋_GB2312"/>
          <w:sz w:val="32"/>
          <w:szCs w:val="32"/>
        </w:rPr>
        <w:t>薪酬管理办法》</w:t>
      </w:r>
      <w:r>
        <w:rPr>
          <w:rFonts w:hint="eastAsia" w:ascii="仿宋_GB2312" w:hAnsi="仿宋_GB2312" w:eastAsia="仿宋_GB2312" w:cs="仿宋_GB2312"/>
          <w:sz w:val="32"/>
          <w:szCs w:val="32"/>
          <w:lang w:eastAsia="zh-CN"/>
        </w:rPr>
        <w:t>、《汝阳兴福村镇银行股份有限公司高管人员年薪管理办法》</w:t>
      </w:r>
      <w:r>
        <w:rPr>
          <w:rFonts w:hint="eastAsia" w:ascii="仿宋_GB2312" w:hAnsi="仿宋_GB2312" w:eastAsia="仿宋_GB2312" w:cs="仿宋_GB2312"/>
          <w:sz w:val="32"/>
          <w:szCs w:val="32"/>
        </w:rPr>
        <w:t>，以及股东会对高级管理层授权委托制度等，形成规范的法人治理运作制度，促进法人治理水平的不断提升。</w:t>
      </w:r>
      <w:r>
        <w:rPr>
          <w:rFonts w:hint="eastAsia" w:ascii="仿宋_GB2312" w:hAnsi="仿宋_GB2312" w:eastAsia="仿宋_GB2312" w:cs="仿宋_GB2312"/>
          <w:sz w:val="32"/>
          <w:szCs w:val="32"/>
          <w:lang w:val="en-US" w:eastAsia="zh-CN"/>
        </w:rPr>
        <w:t>本行公司治理整体在可控范围内，整体评价有效，</w:t>
      </w:r>
    </w:p>
    <w:p>
      <w:pPr>
        <w:spacing w:line="560" w:lineRule="exact"/>
        <w:ind w:firstLine="60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（二）“三会”召开情况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22"/>
        <w:gridCol w:w="750"/>
        <w:gridCol w:w="735"/>
        <w:gridCol w:w="4860"/>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308" w:type="dxa"/>
            <w:gridSpan w:val="5"/>
            <w:tcBorders>
              <w:top w:val="nil"/>
              <w:left w:val="nil"/>
              <w:right w:val="nil"/>
            </w:tcBorders>
            <w:noWrap w:val="0"/>
            <w:vAlign w:val="center"/>
          </w:tcPr>
          <w:p>
            <w:pPr>
              <w:pStyle w:val="15"/>
              <w:spacing w:line="560" w:lineRule="exact"/>
              <w:jc w:val="center"/>
              <w:rPr>
                <w:rFonts w:hint="eastAsia" w:ascii="仿宋_GB2312" w:hAnsi="仿宋_GB2312" w:eastAsia="仿宋_GB2312" w:cs="仿宋_GB2312"/>
                <w:color w:val="auto"/>
                <w:kern w:val="2"/>
                <w:sz w:val="21"/>
                <w:szCs w:val="21"/>
                <w:vertAlign w:val="baseline"/>
                <w:lang w:eastAsia="zh-CN"/>
              </w:rPr>
            </w:pPr>
            <w:r>
              <w:rPr>
                <w:rFonts w:hint="eastAsia" w:ascii="仿宋_GB2312" w:hAnsi="仿宋_GB2312" w:eastAsia="仿宋_GB2312" w:cs="仿宋_GB2312"/>
                <w:b/>
                <w:bCs/>
                <w:color w:val="auto"/>
                <w:kern w:val="2"/>
                <w:sz w:val="28"/>
                <w:szCs w:val="28"/>
                <w:lang w:eastAsia="zh-CN"/>
              </w:rPr>
              <w:t>汝阳兴福村镇银行股东会召开情况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22"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kern w:val="2"/>
                <w:sz w:val="21"/>
                <w:szCs w:val="21"/>
                <w:vertAlign w:val="baseline"/>
                <w:lang w:eastAsia="zh-CN"/>
              </w:rPr>
            </w:pPr>
            <w:r>
              <w:rPr>
                <w:rFonts w:hint="eastAsia" w:ascii="仿宋_GB2312" w:hAnsi="仿宋_GB2312" w:eastAsia="仿宋_GB2312" w:cs="仿宋_GB2312"/>
                <w:color w:val="auto"/>
                <w:kern w:val="2"/>
                <w:sz w:val="21"/>
                <w:szCs w:val="21"/>
                <w:vertAlign w:val="baseline"/>
                <w:lang w:eastAsia="zh-CN"/>
              </w:rPr>
              <w:t>次数</w:t>
            </w:r>
          </w:p>
        </w:tc>
        <w:tc>
          <w:tcPr>
            <w:tcW w:w="750"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kern w:val="2"/>
                <w:sz w:val="21"/>
                <w:szCs w:val="21"/>
                <w:vertAlign w:val="baseline"/>
                <w:lang w:eastAsia="zh-CN"/>
              </w:rPr>
            </w:pPr>
            <w:r>
              <w:rPr>
                <w:rFonts w:hint="eastAsia" w:ascii="仿宋_GB2312" w:hAnsi="仿宋_GB2312" w:eastAsia="仿宋_GB2312" w:cs="仿宋_GB2312"/>
                <w:color w:val="auto"/>
                <w:kern w:val="2"/>
                <w:sz w:val="21"/>
                <w:szCs w:val="21"/>
                <w:vertAlign w:val="baseline"/>
                <w:lang w:eastAsia="zh-CN"/>
              </w:rPr>
              <w:t>时间</w:t>
            </w:r>
          </w:p>
        </w:tc>
        <w:tc>
          <w:tcPr>
            <w:tcW w:w="735"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kern w:val="2"/>
                <w:sz w:val="21"/>
                <w:szCs w:val="21"/>
                <w:vertAlign w:val="baseline"/>
                <w:lang w:eastAsia="zh-CN"/>
              </w:rPr>
            </w:pPr>
            <w:r>
              <w:rPr>
                <w:rFonts w:hint="eastAsia" w:ascii="仿宋_GB2312" w:hAnsi="仿宋_GB2312" w:eastAsia="仿宋_GB2312" w:cs="仿宋_GB2312"/>
                <w:color w:val="auto"/>
                <w:kern w:val="2"/>
                <w:sz w:val="21"/>
                <w:szCs w:val="21"/>
                <w:vertAlign w:val="baseline"/>
                <w:lang w:eastAsia="zh-CN"/>
              </w:rPr>
              <w:t>召开地点</w:t>
            </w:r>
          </w:p>
        </w:tc>
        <w:tc>
          <w:tcPr>
            <w:tcW w:w="4860"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kern w:val="2"/>
                <w:sz w:val="21"/>
                <w:szCs w:val="21"/>
                <w:vertAlign w:val="baseline"/>
                <w:lang w:eastAsia="zh-CN"/>
              </w:rPr>
            </w:pPr>
            <w:r>
              <w:rPr>
                <w:rFonts w:hint="eastAsia" w:ascii="仿宋_GB2312" w:hAnsi="仿宋_GB2312" w:eastAsia="仿宋_GB2312" w:cs="仿宋_GB2312"/>
                <w:color w:val="auto"/>
                <w:kern w:val="2"/>
                <w:sz w:val="21"/>
                <w:szCs w:val="21"/>
                <w:vertAlign w:val="baseline"/>
                <w:lang w:eastAsia="zh-CN"/>
              </w:rPr>
              <w:t>议题</w:t>
            </w:r>
          </w:p>
        </w:tc>
        <w:tc>
          <w:tcPr>
            <w:tcW w:w="2141"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560" w:lineRule="exact"/>
              <w:jc w:val="center"/>
              <w:textAlignment w:val="auto"/>
              <w:rPr>
                <w:rFonts w:hint="eastAsia" w:ascii="仿宋_GB2312" w:hAnsi="仿宋_GB2312" w:eastAsia="仿宋_GB2312" w:cs="仿宋_GB2312"/>
                <w:color w:val="auto"/>
                <w:kern w:val="2"/>
                <w:sz w:val="21"/>
                <w:szCs w:val="21"/>
                <w:vertAlign w:val="baseline"/>
                <w:lang w:eastAsia="zh-CN"/>
              </w:rPr>
            </w:pPr>
            <w:r>
              <w:rPr>
                <w:rFonts w:hint="eastAsia" w:ascii="仿宋_GB2312" w:hAnsi="仿宋_GB2312" w:eastAsia="仿宋_GB2312" w:cs="仿宋_GB2312"/>
                <w:color w:val="auto"/>
                <w:kern w:val="2"/>
                <w:sz w:val="21"/>
                <w:szCs w:val="21"/>
                <w:vertAlign w:val="baseline"/>
                <w:lang w:eastAsia="zh-CN"/>
              </w:rPr>
              <w:t>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22"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2023年第一次临时股东会</w:t>
            </w:r>
          </w:p>
        </w:tc>
        <w:tc>
          <w:tcPr>
            <w:tcW w:w="750"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2023年2月11日</w:t>
            </w:r>
          </w:p>
        </w:tc>
        <w:tc>
          <w:tcPr>
            <w:tcW w:w="735"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汝阳兴福村镇银行四楼会议室</w:t>
            </w:r>
          </w:p>
        </w:tc>
        <w:tc>
          <w:tcPr>
            <w:tcW w:w="4860"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both"/>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议案1：关于本行股权变更的议案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both"/>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议案2：关于变更本行章程的议案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both"/>
              <w:textAlignment w:val="auto"/>
              <w:rPr>
                <w:rFonts w:hint="eastAsia" w:ascii="仿宋_GB2312" w:hAnsi="仿宋_GB2312" w:eastAsia="仿宋_GB2312" w:cs="仿宋_GB2312"/>
                <w:i w:val="0"/>
                <w:color w:val="000000"/>
                <w:kern w:val="0"/>
                <w:sz w:val="21"/>
                <w:szCs w:val="21"/>
                <w:u w:val="none"/>
                <w:lang w:val="en-US" w:eastAsia="zh-CN" w:bidi="ar"/>
              </w:rPr>
            </w:pPr>
          </w:p>
        </w:tc>
        <w:tc>
          <w:tcPr>
            <w:tcW w:w="2141"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both"/>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同意的股东代表出资额[2640]万元,占总出资额[88]%;</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both"/>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反对的股东代表出资额[0]万元,占总出资额[0]%;</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both"/>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弃权的股东代表出资额[360]万元,占总出资额[12]%。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22"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2022年度股东会</w:t>
            </w:r>
          </w:p>
        </w:tc>
        <w:tc>
          <w:tcPr>
            <w:tcW w:w="750"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2023年4月23日</w:t>
            </w:r>
          </w:p>
        </w:tc>
        <w:tc>
          <w:tcPr>
            <w:tcW w:w="735"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汝阳兴福村镇银行四楼会议室</w:t>
            </w:r>
          </w:p>
        </w:tc>
        <w:tc>
          <w:tcPr>
            <w:tcW w:w="4860"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议案1--关于审议《2022年度董事会工作报告》的议案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议案2--关于审议《2022年度监事会工作报告》的议案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议案3--关于审议《2022年年度报告》的议案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议案4--关于审议《2022年度财务决算报告》的议案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议案5--关于审议《2023年度财务预算方案》的议案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议案6--关于审议《2022年度利润分配方案》的议案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议案7：关于增补刘晓敏同志为本行监事的议案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议案8--关于审议《2023年度董事长、高级管理人员履职考核办法》的议案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议案9--关于审议《2023年度监事长履职考核办法》的议案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报告1-本行2022年外部独立董事述职报告</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报告2-2022年度监事会对董事会及董事履职情况的评价报告</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报告3-2022年度监事会对监事履职情况的评价报告</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报告4-2022年度监事会对高级管理人员履职情况的评价报告</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报告5-2022年度关联交易报告</w:t>
            </w:r>
          </w:p>
        </w:tc>
        <w:tc>
          <w:tcPr>
            <w:tcW w:w="2141"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同意的股东代表出资额[2640]万元,占总出资额[88]%;</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反对的股东代表出资额[0]万元,占总出资额[0]%;</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弃权的股东代表出资额[360]万元,占总出资额[12]%。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22"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汝阳兴福村镇银行股份有限公司创立大会（股东会）</w:t>
            </w:r>
          </w:p>
        </w:tc>
        <w:tc>
          <w:tcPr>
            <w:tcW w:w="750"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2023年12月11日</w:t>
            </w:r>
          </w:p>
        </w:tc>
        <w:tc>
          <w:tcPr>
            <w:tcW w:w="735"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汝阳兴福村镇银行四楼会议室</w:t>
            </w:r>
          </w:p>
        </w:tc>
        <w:tc>
          <w:tcPr>
            <w:tcW w:w="4860"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议案1：关于《汝阳兴福村镇银行股份有限公司章程（草案）》的议案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议案2：关于汝阳兴福村镇银行股份有限公司公司治理主要制度（草案）的议案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议案3：关于《汝阳兴福村镇银行股份有限公司2024年-2026年发展规划（草案）》的议案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议案4：关于选举汝阳兴福村镇银行股份有限公司董事的议案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议案5：关于选举汝阳兴福村镇银行股份有限公司非职工监事的议案</w:t>
            </w:r>
          </w:p>
        </w:tc>
        <w:tc>
          <w:tcPr>
            <w:tcW w:w="2141"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同意的股东代表出资额[3000]万元,占总出资额[100]%;</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反对的股东代表出资额[0]万元,占总出资额[0]%;</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弃权的股东代表出资额[0]万元,占总出资额[0]%。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308" w:type="dxa"/>
            <w:gridSpan w:val="5"/>
            <w:tcBorders>
              <w:left w:val="nil"/>
              <w:right w:val="nil"/>
            </w:tcBorders>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
                <w:bCs/>
                <w:color w:val="auto"/>
                <w:kern w:val="2"/>
                <w:sz w:val="28"/>
                <w:szCs w:val="28"/>
                <w:lang w:eastAsia="zh-CN"/>
              </w:rPr>
              <w:t>汝阳兴福村镇银行董事会召开情况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22"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第二届董事会第六次会议</w:t>
            </w:r>
          </w:p>
        </w:tc>
        <w:tc>
          <w:tcPr>
            <w:tcW w:w="750"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2023年1月5日</w:t>
            </w:r>
          </w:p>
        </w:tc>
        <w:tc>
          <w:tcPr>
            <w:tcW w:w="735"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汝阳兴福村镇银行四楼会议室</w:t>
            </w:r>
          </w:p>
        </w:tc>
        <w:tc>
          <w:tcPr>
            <w:tcW w:w="4860"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议案1：关于本行股权变更的议案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议案2：关于变更本行章程的议案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议案3：关于召开汝阳兴福村镇银行2023年第一次临时股东会的议案</w:t>
            </w:r>
          </w:p>
        </w:tc>
        <w:tc>
          <w:tcPr>
            <w:tcW w:w="2141"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所有议案同意[ 3 ]票，反对[ 0 ]票，弃权[ 0 ]票。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22"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第二届董事会第七次会议</w:t>
            </w:r>
          </w:p>
        </w:tc>
        <w:tc>
          <w:tcPr>
            <w:tcW w:w="750"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2023年3月10日</w:t>
            </w:r>
          </w:p>
        </w:tc>
        <w:tc>
          <w:tcPr>
            <w:tcW w:w="735"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汝阳兴福村镇银行四楼会议室</w:t>
            </w:r>
          </w:p>
        </w:tc>
        <w:tc>
          <w:tcPr>
            <w:tcW w:w="4860"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议案1：关于审议汝阳兴福村镇银行2022年年度报告的议案</w:t>
            </w:r>
          </w:p>
        </w:tc>
        <w:tc>
          <w:tcPr>
            <w:tcW w:w="2141"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所有议案同意[ 3 ]票，反对[ 0 ]票，弃权[ 0 ]票。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22"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第二届董事会第八次会议</w:t>
            </w:r>
          </w:p>
        </w:tc>
        <w:tc>
          <w:tcPr>
            <w:tcW w:w="750"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2023年4月1日</w:t>
            </w:r>
          </w:p>
        </w:tc>
        <w:tc>
          <w:tcPr>
            <w:tcW w:w="735"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汝阳兴福村镇银行四楼会议室</w:t>
            </w:r>
          </w:p>
        </w:tc>
        <w:tc>
          <w:tcPr>
            <w:tcW w:w="4860"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议案1--关于审议《2022年度董事会工作报告》的议案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议案2--关于审议《2022年度财务决算方案》的议案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议案3--关于审议《2023年度财务预算方案》的议案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议案4--关于审议《2022年度利润分配方案》的议案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 xml:space="preserve">议案5--关于审议《本行2022年度董事履职情况的评价报告》的议案 </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议案6--关于审议《本行2022年外部独立董事述职报告》的议案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议案7--关于审议《本行2023年发展规划和经营策略》的议案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 xml:space="preserve">议案8：关于聘任副行长和行长助理的议案 </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议案9--关于召开本行2022年度股东会的议案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报告1--汝阳兴福村镇银行2022年度反洗钱工作报告</w:t>
            </w:r>
          </w:p>
        </w:tc>
        <w:tc>
          <w:tcPr>
            <w:tcW w:w="2141"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所有议案同意[ 3 ]票，反对[ 0 ]票，弃权[ 0 ]票。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22"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第二届董事会第九次会议</w:t>
            </w:r>
          </w:p>
        </w:tc>
        <w:tc>
          <w:tcPr>
            <w:tcW w:w="750"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2023年11月30日</w:t>
            </w:r>
          </w:p>
        </w:tc>
        <w:tc>
          <w:tcPr>
            <w:tcW w:w="735"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汝阳兴福村镇银行四楼会议室</w:t>
            </w:r>
          </w:p>
        </w:tc>
        <w:tc>
          <w:tcPr>
            <w:tcW w:w="4860"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议案1：关于聘任赵营利担任汝阳兴福村镇银行有限责任公司行长的议案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议案2：关于聘任汝阳兴福村镇银行有限责任公司副行长等高级管理人员的议案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 xml:space="preserve">议案3--关于聘任汝阳兴福村镇银行蔡店支行行长的议案 </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议案4--关于聘任汝阳兴福村镇银行隆盛支行行长的议案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报告1：汝阳兴福村镇银行关于开展金融消费者权益保护工作的总结报告</w:t>
            </w:r>
          </w:p>
        </w:tc>
        <w:tc>
          <w:tcPr>
            <w:tcW w:w="2141"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所有议案同意[ 3 ]票，反对[ 0 ]票，弃权[ 0 ]票。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22"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第一届董事会第一次会议</w:t>
            </w:r>
          </w:p>
        </w:tc>
        <w:tc>
          <w:tcPr>
            <w:tcW w:w="750"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2023年12月11日</w:t>
            </w:r>
          </w:p>
        </w:tc>
        <w:tc>
          <w:tcPr>
            <w:tcW w:w="735"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汝阳兴福村镇银行四楼会议室</w:t>
            </w:r>
          </w:p>
        </w:tc>
        <w:tc>
          <w:tcPr>
            <w:tcW w:w="4860"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议案1：关于选举朱国民为汝阳兴福村镇银行股份有限公司董事长的议案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议案2：关于聘任赵营利担任汝阳兴福村镇银行股份有限公司行长的议案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议案3：关于聘任汝阳兴福村镇银行股份有限公司行长助理等高级管理人员的议案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议案4：关于汝阳兴福村镇银行股份有限公司第一届董事会对行长日常经营授权的议案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议案5：关于《汝阳兴福村镇银行股份有限公司章程（草案）》的议案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议案6：关于汝阳兴福村镇银行股份有限公司主要管理制度（草案）的议案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议案7：关于《汝阳兴福村镇银行股份有限公司2023年-2025年发展规划（草案）》的议案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议案8：关于设立董事会专门委员会的议案（需确认委员会成员名单）</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议案9：关于聘请律师事务所的议案</w:t>
            </w:r>
          </w:p>
        </w:tc>
        <w:tc>
          <w:tcPr>
            <w:tcW w:w="2141"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所有议案同意[ 3 ]票，反对[ 0 ]票，弃权[ 0 ]票。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308" w:type="dxa"/>
            <w:gridSpan w:val="5"/>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b/>
                <w:bCs/>
                <w:color w:val="auto"/>
                <w:kern w:val="2"/>
                <w:sz w:val="28"/>
                <w:szCs w:val="28"/>
                <w:lang w:eastAsia="zh-CN"/>
              </w:rPr>
              <w:t>汝阳兴福村镇银行监事会召开情况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22"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第三届监事会第七次会议</w:t>
            </w:r>
          </w:p>
        </w:tc>
        <w:tc>
          <w:tcPr>
            <w:tcW w:w="750"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2023年4月1日</w:t>
            </w:r>
          </w:p>
        </w:tc>
        <w:tc>
          <w:tcPr>
            <w:tcW w:w="735"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汝阳兴福村镇银行四楼会议室</w:t>
            </w:r>
          </w:p>
        </w:tc>
        <w:tc>
          <w:tcPr>
            <w:tcW w:w="4860"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议案1-关于审议《2022年度监事会工作报告》的议案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议案2-关于审议《2022年度监事会对高级管理人员履职情况的评价报告》的议案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议案3-关于审议《2022年度监事会对监事履职情况的评价报告》的议案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议案4-关于审议《2022年度监事会对董事会及董事履职情况的评价报告》的议案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议案5--关于审议《2022年度财务决算方案》的议案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议案6--关于审议《2023年度财务预算方案》的议案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议案7--关于审议《2022年度利润分配方案》的议案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议案8--关于审议《2022年度反洗钱工作报告》的议案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议案9：关于增补刘晓敏同志为本行监事的议案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议案10--关于审议《2022年度关联交易报告》的议案</w:t>
            </w:r>
          </w:p>
        </w:tc>
        <w:tc>
          <w:tcPr>
            <w:tcW w:w="2141"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所有议案同意[ 3 ]票，反对[ 0 ]票，弃权[ 0 ]票。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22"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第一届监事会第一次会议</w:t>
            </w:r>
          </w:p>
        </w:tc>
        <w:tc>
          <w:tcPr>
            <w:tcW w:w="750"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2023年12月11日</w:t>
            </w:r>
          </w:p>
        </w:tc>
        <w:tc>
          <w:tcPr>
            <w:tcW w:w="735"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center"/>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汝阳兴福村镇银行四楼会议室</w:t>
            </w:r>
          </w:p>
        </w:tc>
        <w:tc>
          <w:tcPr>
            <w:tcW w:w="4860"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议案1：关于选举闫振学为汝阳兴福村镇银行股份有限公司监事会主席的议案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议案2：关于《汝阳兴福村镇银行股份有限公司章程（草案）》的议案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议案3：关于汝阳兴福村镇银行股份有限公司主要管理制度（草案）的议案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议案4：关于《汝阳兴福村镇银行股份有限公司2024年-2026年发展规划（草案）》的议案</w:t>
            </w:r>
          </w:p>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议案5：关于《2023年度监事会对消费者权益保护工作的评价报告》的议案</w:t>
            </w:r>
          </w:p>
        </w:tc>
        <w:tc>
          <w:tcPr>
            <w:tcW w:w="2141" w:type="dxa"/>
            <w:noWrap w:val="0"/>
            <w:vAlign w:val="center"/>
          </w:tcPr>
          <w:p>
            <w:pPr>
              <w:pStyle w:val="15"/>
              <w:keepNext w:val="0"/>
              <w:keepLines w:val="0"/>
              <w:pageBreakBefore w:val="0"/>
              <w:widowControl/>
              <w:kinsoku/>
              <w:wordWrap w:val="0"/>
              <w:overflowPunct/>
              <w:topLinePunct w:val="0"/>
              <w:autoSpaceDE w:val="0"/>
              <w:autoSpaceDN w:val="0"/>
              <w:bidi w:val="0"/>
              <w:adjustRightInd w:val="0"/>
              <w:snapToGrid/>
              <w:spacing w:line="240" w:lineRule="atLeast"/>
              <w:jc w:val="left"/>
              <w:textAlignment w:val="auto"/>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所有议案同意[ 3 ]票，反对[ 0 ]票，弃权[ 0 ]票。</w:t>
            </w:r>
          </w:p>
        </w:tc>
      </w:tr>
    </w:tbl>
    <w:p>
      <w:pPr>
        <w:pStyle w:val="15"/>
        <w:spacing w:line="56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公司董事会积极履行工作职能，为公司发展提供决策保证，全年公司共召开股东会</w:t>
      </w: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rPr>
        <w:t>次，审议议案</w:t>
      </w:r>
      <w:r>
        <w:rPr>
          <w:rFonts w:hint="eastAsia" w:ascii="仿宋_GB2312" w:hAnsi="仿宋_GB2312" w:eastAsia="仿宋_GB2312" w:cs="仿宋_GB2312"/>
          <w:color w:val="auto"/>
          <w:kern w:val="2"/>
          <w:sz w:val="32"/>
          <w:szCs w:val="32"/>
          <w:lang w:val="en-US" w:eastAsia="zh-CN"/>
        </w:rPr>
        <w:t>16</w:t>
      </w:r>
      <w:r>
        <w:rPr>
          <w:rFonts w:hint="eastAsia" w:ascii="仿宋_GB2312" w:hAnsi="仿宋_GB2312" w:eastAsia="仿宋_GB2312" w:cs="仿宋_GB2312"/>
          <w:color w:val="auto"/>
          <w:kern w:val="2"/>
          <w:sz w:val="32"/>
          <w:szCs w:val="32"/>
        </w:rPr>
        <w:t>项</w:t>
      </w:r>
      <w:r>
        <w:rPr>
          <w:rFonts w:hint="eastAsia" w:ascii="仿宋_GB2312" w:hAnsi="仿宋_GB2312" w:eastAsia="仿宋_GB2312" w:cs="仿宋_GB2312"/>
          <w:color w:val="auto"/>
          <w:kern w:val="2"/>
          <w:sz w:val="32"/>
          <w:szCs w:val="32"/>
          <w:lang w:eastAsia="zh-CN"/>
        </w:rPr>
        <w:t>，听取报告</w:t>
      </w:r>
      <w:r>
        <w:rPr>
          <w:rFonts w:hint="eastAsia" w:ascii="仿宋_GB2312" w:hAnsi="仿宋_GB2312" w:eastAsia="仿宋_GB2312" w:cs="仿宋_GB2312"/>
          <w:color w:val="auto"/>
          <w:kern w:val="2"/>
          <w:sz w:val="32"/>
          <w:szCs w:val="32"/>
          <w:lang w:val="en-US" w:eastAsia="zh-CN"/>
        </w:rPr>
        <w:t>5项</w:t>
      </w:r>
      <w:r>
        <w:rPr>
          <w:rFonts w:hint="eastAsia" w:ascii="仿宋_GB2312" w:hAnsi="仿宋_GB2312" w:eastAsia="仿宋_GB2312" w:cs="仿宋_GB2312"/>
          <w:color w:val="auto"/>
          <w:kern w:val="2"/>
          <w:sz w:val="32"/>
          <w:szCs w:val="32"/>
        </w:rPr>
        <w:t>；召开董事会会议</w:t>
      </w:r>
      <w:r>
        <w:rPr>
          <w:rFonts w:hint="eastAsia" w:ascii="仿宋_GB2312" w:hAnsi="仿宋_GB2312" w:eastAsia="仿宋_GB2312" w:cs="仿宋_GB2312"/>
          <w:color w:val="auto"/>
          <w:kern w:val="2"/>
          <w:sz w:val="32"/>
          <w:szCs w:val="32"/>
          <w:lang w:val="en-US" w:eastAsia="zh-CN"/>
        </w:rPr>
        <w:t>5</w:t>
      </w:r>
      <w:r>
        <w:rPr>
          <w:rFonts w:hint="eastAsia" w:ascii="仿宋_GB2312" w:hAnsi="仿宋_GB2312" w:eastAsia="仿宋_GB2312" w:cs="仿宋_GB2312"/>
          <w:color w:val="auto"/>
          <w:kern w:val="2"/>
          <w:sz w:val="32"/>
          <w:szCs w:val="32"/>
        </w:rPr>
        <w:t>次，审议议案26项</w:t>
      </w:r>
      <w:r>
        <w:rPr>
          <w:rFonts w:hint="eastAsia" w:ascii="仿宋_GB2312" w:hAnsi="仿宋_GB2312" w:eastAsia="仿宋_GB2312" w:cs="仿宋_GB2312"/>
          <w:color w:val="auto"/>
          <w:kern w:val="2"/>
          <w:sz w:val="32"/>
          <w:szCs w:val="32"/>
          <w:lang w:eastAsia="zh-CN"/>
        </w:rPr>
        <w:t>，听取报告</w:t>
      </w:r>
      <w:r>
        <w:rPr>
          <w:rFonts w:hint="eastAsia" w:ascii="仿宋_GB2312" w:hAnsi="仿宋_GB2312" w:eastAsia="仿宋_GB2312" w:cs="仿宋_GB2312"/>
          <w:color w:val="auto"/>
          <w:kern w:val="2"/>
          <w:sz w:val="32"/>
          <w:szCs w:val="32"/>
          <w:lang w:val="en-US" w:eastAsia="zh-CN"/>
        </w:rPr>
        <w:t>2项</w:t>
      </w:r>
      <w:r>
        <w:rPr>
          <w:rFonts w:hint="eastAsia" w:ascii="仿宋_GB2312" w:hAnsi="仿宋_GB2312" w:eastAsia="仿宋_GB2312" w:cs="仿宋_GB2312"/>
          <w:color w:val="auto"/>
          <w:kern w:val="2"/>
          <w:sz w:val="32"/>
          <w:szCs w:val="32"/>
        </w:rPr>
        <w:t>。在董事会及其专门委员会闭会期间，股权董事和独立董事通过审阅本行文件材料和监管机构发布的信息，了解本行总体经营管理情况、业务发展情况、最新监管政策、行业发展动向等，保障对本行重大事项作出科学决策。董事会主动承担公司风险管理的最终责任，坚持把风险管理放在突出位置，坚持风险防控常抓不懈。</w:t>
      </w:r>
    </w:p>
    <w:p>
      <w:pPr>
        <w:spacing w:line="560" w:lineRule="exact"/>
        <w:ind w:firstLine="674"/>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监事会共召开会议2次，审议通过议案15项。监事会的召开和议事程序均符合法律法规、公司《章程》和《监事会议事规则》等规定，监事会成员针对各项议案发表了相应的意见或建议。同时，组织监事参加股东大会，列席董事会和经营层会议。</w:t>
      </w:r>
    </w:p>
    <w:p>
      <w:pPr>
        <w:pStyle w:val="2"/>
        <w:rPr>
          <w:rFonts w:hint="eastAsia" w:ascii="黑体" w:hAnsi="黑体" w:eastAsia="黑体" w:cs="黑体"/>
          <w:sz w:val="32"/>
          <w:szCs w:val="32"/>
        </w:rPr>
      </w:pPr>
      <w:bookmarkStart w:id="4" w:name="_Toc18499"/>
      <w:r>
        <w:rPr>
          <w:rFonts w:hint="eastAsia" w:ascii="黑体" w:hAnsi="黑体" w:eastAsia="黑体" w:cs="黑体"/>
          <w:sz w:val="32"/>
          <w:szCs w:val="32"/>
        </w:rPr>
        <w:t>五、</w:t>
      </w:r>
      <w:r>
        <w:rPr>
          <w:rFonts w:hint="eastAsia" w:ascii="黑体" w:hAnsi="黑体" w:eastAsia="黑体" w:cs="黑体"/>
          <w:sz w:val="32"/>
          <w:szCs w:val="32"/>
          <w:lang w:eastAsia="zh-CN"/>
        </w:rPr>
        <w:t>汝阳兴福村镇银行2023</w:t>
      </w:r>
      <w:r>
        <w:rPr>
          <w:rFonts w:hint="eastAsia" w:ascii="黑体" w:hAnsi="黑体" w:eastAsia="黑体" w:cs="黑体"/>
          <w:sz w:val="32"/>
          <w:szCs w:val="32"/>
        </w:rPr>
        <w:t>年度经营情况</w:t>
      </w:r>
      <w:bookmarkEnd w:id="4"/>
    </w:p>
    <w:p>
      <w:pPr>
        <w:spacing w:line="560" w:lineRule="exact"/>
        <w:ind w:firstLine="630" w:firstLineChars="196"/>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（一）报告期内整体经营情况分析</w:t>
      </w:r>
    </w:p>
    <w:p>
      <w:pPr>
        <w:pStyle w:val="9"/>
        <w:keepNext w:val="0"/>
        <w:keepLines w:val="0"/>
        <w:pageBreakBefore w:val="0"/>
        <w:kinsoku/>
        <w:overflowPunct/>
        <w:topLinePunct w:val="0"/>
        <w:autoSpaceDE/>
        <w:autoSpaceDN/>
        <w:bidi w:val="0"/>
        <w:adjustRightInd/>
        <w:snapToGrid/>
        <w:spacing w:before="0" w:beforeLines="0" w:beforeAutospacing="0" w:after="0" w:afterLines="0" w:afterAutospacing="0" w:line="520" w:lineRule="exact"/>
        <w:jc w:val="both"/>
        <w:textAlignment w:val="auto"/>
        <w:rPr>
          <w:rFonts w:hint="eastAsia" w:ascii="仿宋_GB2312" w:hAnsi="仿宋_GB2312" w:eastAsia="仿宋_GB2312" w:cs="仿宋_GB2312"/>
          <w:color w:val="0000FF"/>
          <w:sz w:val="32"/>
          <w:szCs w:val="32"/>
          <w:highlight w:val="none"/>
          <w:shd w:val="clear" w:color="FFFFFF" w:fill="D9D9D9"/>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kern w:val="2"/>
          <w:sz w:val="32"/>
          <w:szCs w:val="32"/>
          <w:highlight w:val="none"/>
        </w:rPr>
        <w:t xml:space="preserve"> </w:t>
      </w:r>
      <w:r>
        <w:rPr>
          <w:rFonts w:hint="eastAsia" w:ascii="仿宋_GB2312" w:hAnsi="仿宋_GB2312" w:eastAsia="仿宋_GB2312" w:cs="仿宋_GB2312"/>
          <w:color w:val="auto"/>
          <w:kern w:val="2"/>
          <w:sz w:val="32"/>
          <w:szCs w:val="32"/>
          <w:lang w:val="en-US" w:eastAsia="zh-CN" w:bidi="ar-SA"/>
        </w:rPr>
        <w:t>2023年，狠抓业务经营和管理，各项业务保持了较好的发展势头，2023年末，各项存款余额为6.88亿元，全行日均存款6.63亿元，贷款余额5.91亿元，较年初净增8360万元，不良率0.52%，涉农贷款余额5.40亿，涉农贷款占比91.35%，</w:t>
      </w:r>
      <w:r>
        <w:rPr>
          <w:rFonts w:hint="eastAsia" w:ascii="仿宋_GB2312" w:hAnsi="仿宋_GB2312" w:eastAsia="仿宋_GB2312" w:cs="仿宋_GB2312"/>
          <w:color w:val="auto"/>
          <w:kern w:val="2"/>
          <w:sz w:val="32"/>
          <w:szCs w:val="32"/>
          <w:highlight w:val="none"/>
          <w:lang w:val="en-US" w:eastAsia="zh-CN" w:bidi="ar-SA"/>
        </w:rPr>
        <w:t>资本充足率12.86%，经营利润1258万元,实现净利润916万元。</w:t>
      </w:r>
    </w:p>
    <w:p>
      <w:pPr>
        <w:keepNext w:val="0"/>
        <w:keepLines w:val="0"/>
        <w:pageBreakBefore w:val="0"/>
        <w:tabs>
          <w:tab w:val="left" w:pos="3690"/>
          <w:tab w:val="left" w:pos="5580"/>
        </w:tabs>
        <w:kinsoku/>
        <w:overflowPunct/>
        <w:topLinePunct w:val="0"/>
        <w:autoSpaceDE/>
        <w:autoSpaceDN/>
        <w:bidi w:val="0"/>
        <w:adjustRightInd/>
        <w:snapToGrid/>
        <w:spacing w:line="520" w:lineRule="exact"/>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b/>
          <w:sz w:val="32"/>
          <w:szCs w:val="32"/>
          <w:highlight w:val="none"/>
        </w:rPr>
        <w:t xml:space="preserve">（二）各项指标落实情况 </w:t>
      </w:r>
    </w:p>
    <w:p>
      <w:pPr>
        <w:keepNext w:val="0"/>
        <w:keepLines w:val="0"/>
        <w:pageBreakBefore w:val="0"/>
        <w:kinsoku/>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1</w:t>
      </w:r>
      <w:r>
        <w:rPr>
          <w:rFonts w:hint="eastAsia" w:ascii="仿宋_GB2312" w:hAnsi="仿宋_GB2312" w:eastAsia="仿宋_GB2312" w:cs="仿宋_GB2312"/>
          <w:b/>
          <w:sz w:val="32"/>
          <w:szCs w:val="32"/>
          <w:highlight w:val="none"/>
          <w:lang w:eastAsia="zh-CN"/>
        </w:rPr>
        <w:t>、</w:t>
      </w:r>
      <w:r>
        <w:rPr>
          <w:rFonts w:hint="eastAsia" w:ascii="仿宋_GB2312" w:hAnsi="仿宋_GB2312" w:eastAsia="仿宋_GB2312" w:cs="仿宋_GB2312"/>
          <w:b/>
          <w:sz w:val="32"/>
          <w:szCs w:val="32"/>
          <w:highlight w:val="none"/>
        </w:rPr>
        <w:t>各项存款增长情况</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截至2023年12月31日，存款余额6.88亿元，较年初新增1.57亿元，余额新增完成率120.76%；存款日均6.63亿元，较年初新增1.52亿元，日均新增完成率138.39%。</w:t>
      </w:r>
    </w:p>
    <w:p>
      <w:pPr>
        <w:keepNext w:val="0"/>
        <w:keepLines w:val="0"/>
        <w:pageBreakBefore w:val="0"/>
        <w:kinsoku/>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w:t>
      </w: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color w:val="auto"/>
          <w:sz w:val="32"/>
          <w:szCs w:val="32"/>
          <w:highlight w:val="none"/>
        </w:rPr>
        <w:t>贷款发放情况</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截至2023年12月31日，共发放贷款7601户，放款金额26.69亿元。贷款年日均5.38亿元，较年初净增0.56亿元，存量贷款户数3922户，较年初净增641户;贷款余额5.91亿元，较年初净增0.83亿元。</w:t>
      </w:r>
    </w:p>
    <w:p>
      <w:pPr>
        <w:keepNext w:val="0"/>
        <w:keepLines w:val="0"/>
        <w:pageBreakBefore w:val="0"/>
        <w:kinsoku/>
        <w:overflowPunct/>
        <w:topLinePunct w:val="0"/>
        <w:autoSpaceDE/>
        <w:autoSpaceDN/>
        <w:bidi w:val="0"/>
        <w:adjustRightInd/>
        <w:snapToGrid/>
        <w:spacing w:line="520" w:lineRule="exact"/>
        <w:ind w:firstLine="630" w:firstLineChars="196"/>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3</w:t>
      </w: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color w:val="auto"/>
          <w:sz w:val="32"/>
          <w:szCs w:val="32"/>
          <w:highlight w:val="none"/>
        </w:rPr>
        <w:t>不良贷款清收工作情况</w:t>
      </w:r>
    </w:p>
    <w:p>
      <w:pPr>
        <w:keepNext w:val="0"/>
        <w:keepLines w:val="0"/>
        <w:pageBreakBefore w:val="0"/>
        <w:numPr>
          <w:ilvl w:val="0"/>
          <w:numId w:val="0"/>
        </w:numPr>
        <w:kinsoku/>
        <w:overflowPunct/>
        <w:topLinePunct w:val="0"/>
        <w:autoSpaceDE/>
        <w:autoSpaceDN/>
        <w:bidi w:val="0"/>
        <w:adjustRightInd/>
        <w:snapToGrid/>
        <w:spacing w:line="520" w:lineRule="exac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截至2023年12月31日，各项贷款总额5.91亿元，其中，正常贷款5.81亿元，关注类贷款619.55万元，不良贷款309.98万元，不良贷款率0.52%。全年共计处置不良贷款513.83万元，其中核销193.89万，现金清收221.16万元，贷款重组98.78万元。</w:t>
      </w:r>
    </w:p>
    <w:p>
      <w:pPr>
        <w:keepNext w:val="0"/>
        <w:keepLines w:val="0"/>
        <w:pageBreakBefore w:val="0"/>
        <w:kinsoku/>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4</w:t>
      </w: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color w:val="auto"/>
          <w:sz w:val="32"/>
          <w:szCs w:val="32"/>
          <w:highlight w:val="none"/>
        </w:rPr>
        <w:t>收入构成及变化、费用构成及变化情况</w:t>
      </w:r>
    </w:p>
    <w:p>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2023年，汝阳兴福村镇银行在发展业务的同时，注重财务管理，不断完善内控制度；同时运用政策及内控制度，合理配置资源，提高资金运用率；计提贷款拨备，增强抗风险能力；加大贷款收息力度，提升百元收息率；优化股权结构，控制风险资产，提高资本充足率。全年实现总收入3792.23万元，其中：各项贷款利息收入4750.06万元，金融机构往来利息收入709.52万元，手续费及佣金收入15.05万元，其他收入0万元，投资收益4.31万元，营业外收入1.06万元；总支出2534.08万元，其中：吸收存款利息支出1587.53万元，金融机构往来利息支出44.10万元，手续费支出37.14万元，营业费用1936.21万元，营业税金及附加6.95万元，信用减值损失590.92万元，营业外支出52.66万元，所得税费用290.15万元；收入、费用、利润增减变化从下表得以说明：  </w:t>
      </w:r>
      <w:r>
        <w:rPr>
          <w:rFonts w:hint="eastAsia" w:ascii="仿宋_GB2312" w:hAnsi="仿宋_GB2312" w:eastAsia="仿宋_GB2312" w:cs="仿宋_GB2312"/>
          <w:b w:val="0"/>
          <w:bCs w:val="0"/>
          <w:color w:val="auto"/>
          <w:sz w:val="32"/>
          <w:szCs w:val="32"/>
          <w:highlight w:val="none"/>
        </w:rPr>
        <w:t xml:space="preserve">  </w:t>
      </w:r>
    </w:p>
    <w:tbl>
      <w:tblPr>
        <w:tblStyle w:val="10"/>
        <w:tblW w:w="0" w:type="auto"/>
        <w:jc w:val="center"/>
        <w:tblLayout w:type="fixed"/>
        <w:tblCellMar>
          <w:top w:w="0" w:type="dxa"/>
          <w:left w:w="0" w:type="dxa"/>
          <w:bottom w:w="0" w:type="dxa"/>
          <w:right w:w="0" w:type="dxa"/>
        </w:tblCellMar>
      </w:tblPr>
      <w:tblGrid>
        <w:gridCol w:w="600"/>
        <w:gridCol w:w="823"/>
        <w:gridCol w:w="750"/>
        <w:gridCol w:w="735"/>
        <w:gridCol w:w="855"/>
        <w:gridCol w:w="810"/>
        <w:gridCol w:w="930"/>
        <w:gridCol w:w="750"/>
        <w:gridCol w:w="750"/>
        <w:gridCol w:w="870"/>
        <w:gridCol w:w="585"/>
        <w:gridCol w:w="675"/>
        <w:gridCol w:w="864"/>
      </w:tblGrid>
      <w:tr>
        <w:tblPrEx>
          <w:tblCellMar>
            <w:top w:w="0" w:type="dxa"/>
            <w:left w:w="0" w:type="dxa"/>
            <w:bottom w:w="0" w:type="dxa"/>
            <w:right w:w="0" w:type="dxa"/>
          </w:tblCellMar>
        </w:tblPrEx>
        <w:trPr>
          <w:trHeight w:val="23" w:hRule="atLeast"/>
          <w:jc w:val="center"/>
        </w:trPr>
        <w:tc>
          <w:tcPr>
            <w:tcW w:w="9997" w:type="dxa"/>
            <w:gridSpan w:val="13"/>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color w:val="auto"/>
                <w:sz w:val="21"/>
                <w:szCs w:val="21"/>
                <w:highlight w:val="none"/>
              </w:rPr>
              <w:t xml:space="preserve"> 单位：万元</w:t>
            </w:r>
          </w:p>
        </w:tc>
      </w:tr>
      <w:tr>
        <w:tblPrEx>
          <w:tblCellMar>
            <w:top w:w="0" w:type="dxa"/>
            <w:left w:w="0" w:type="dxa"/>
            <w:bottom w:w="0" w:type="dxa"/>
            <w:right w:w="0" w:type="dxa"/>
          </w:tblCellMar>
        </w:tblPrEx>
        <w:trPr>
          <w:trHeight w:val="23"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项目</w:t>
            </w:r>
          </w:p>
        </w:tc>
        <w:tc>
          <w:tcPr>
            <w:tcW w:w="230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收   入</w:t>
            </w:r>
          </w:p>
        </w:tc>
        <w:tc>
          <w:tcPr>
            <w:tcW w:w="259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费  用</w:t>
            </w:r>
          </w:p>
        </w:tc>
        <w:tc>
          <w:tcPr>
            <w:tcW w:w="237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利   润</w:t>
            </w:r>
          </w:p>
        </w:tc>
        <w:tc>
          <w:tcPr>
            <w:tcW w:w="212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资产利润率</w:t>
            </w:r>
          </w:p>
        </w:tc>
      </w:tr>
      <w:tr>
        <w:tblPrEx>
          <w:tblCellMar>
            <w:top w:w="0" w:type="dxa"/>
            <w:left w:w="0" w:type="dxa"/>
            <w:bottom w:w="0" w:type="dxa"/>
            <w:right w:w="0" w:type="dxa"/>
          </w:tblCellMar>
        </w:tblPrEx>
        <w:trPr>
          <w:trHeight w:val="671"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时间</w:t>
            </w:r>
          </w:p>
        </w:tc>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总额</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增减额</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增幅</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总额</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增减额</w:t>
            </w:r>
          </w:p>
        </w:tc>
        <w:tc>
          <w:tcPr>
            <w:tcW w:w="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增幅</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总额</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增减额</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增幅</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总额</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增减额</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增幅</w:t>
            </w:r>
          </w:p>
        </w:tc>
      </w:tr>
      <w:tr>
        <w:tblPrEx>
          <w:tblCellMar>
            <w:top w:w="0" w:type="dxa"/>
            <w:left w:w="0" w:type="dxa"/>
            <w:bottom w:w="0" w:type="dxa"/>
            <w:right w:w="0" w:type="dxa"/>
          </w:tblCellMar>
        </w:tblPrEx>
        <w:trPr>
          <w:trHeight w:val="23"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2019</w:t>
            </w:r>
          </w:p>
        </w:tc>
        <w:tc>
          <w:tcPr>
            <w:tcW w:w="8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2060.34</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157.07</w:t>
            </w:r>
          </w:p>
        </w:tc>
        <w:tc>
          <w:tcPr>
            <w:tcW w:w="7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8.25%</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1078.94</w:t>
            </w: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-113.18</w:t>
            </w:r>
          </w:p>
        </w:tc>
        <w:tc>
          <w:tcPr>
            <w:tcW w:w="9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-9.49%</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550.74</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-71.48</w:t>
            </w:r>
          </w:p>
        </w:tc>
        <w:tc>
          <w:tcPr>
            <w:tcW w:w="8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-11.49%</w:t>
            </w:r>
          </w:p>
        </w:tc>
        <w:tc>
          <w:tcPr>
            <w:tcW w:w="5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2.51</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0.22</w:t>
            </w: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9.61%</w:t>
            </w:r>
          </w:p>
        </w:tc>
      </w:tr>
      <w:tr>
        <w:tblPrEx>
          <w:tblCellMar>
            <w:top w:w="0" w:type="dxa"/>
            <w:left w:w="0" w:type="dxa"/>
            <w:bottom w:w="0" w:type="dxa"/>
            <w:right w:w="0" w:type="dxa"/>
          </w:tblCellMar>
        </w:tblPrEx>
        <w:trPr>
          <w:trHeight w:val="23"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2020</w:t>
            </w:r>
          </w:p>
        </w:tc>
        <w:tc>
          <w:tcPr>
            <w:tcW w:w="8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2938.52</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878.18</w:t>
            </w:r>
          </w:p>
        </w:tc>
        <w:tc>
          <w:tcPr>
            <w:tcW w:w="7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42.62%</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1461.99</w:t>
            </w: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383.05</w:t>
            </w:r>
          </w:p>
        </w:tc>
        <w:tc>
          <w:tcPr>
            <w:tcW w:w="9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35.50%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693.50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142.76</w:t>
            </w:r>
          </w:p>
        </w:tc>
        <w:tc>
          <w:tcPr>
            <w:tcW w:w="8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25.92%</w:t>
            </w:r>
          </w:p>
        </w:tc>
        <w:tc>
          <w:tcPr>
            <w:tcW w:w="5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1.67</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-0.84</w:t>
            </w: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-33.47%</w:t>
            </w:r>
          </w:p>
        </w:tc>
      </w:tr>
      <w:tr>
        <w:tblPrEx>
          <w:tblCellMar>
            <w:top w:w="0" w:type="dxa"/>
            <w:left w:w="0" w:type="dxa"/>
            <w:bottom w:w="0" w:type="dxa"/>
            <w:right w:w="0" w:type="dxa"/>
          </w:tblCellMar>
        </w:tblPrEx>
        <w:trPr>
          <w:trHeight w:val="23"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2021</w:t>
            </w:r>
          </w:p>
        </w:tc>
        <w:tc>
          <w:tcPr>
            <w:tcW w:w="8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3128.49</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189.97</w:t>
            </w:r>
          </w:p>
        </w:tc>
        <w:tc>
          <w:tcPr>
            <w:tcW w:w="7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6.46%</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1542.49</w:t>
            </w: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80.5</w:t>
            </w:r>
          </w:p>
        </w:tc>
        <w:tc>
          <w:tcPr>
            <w:tcW w:w="9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5.51%</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811.39</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117.89</w:t>
            </w:r>
          </w:p>
        </w:tc>
        <w:tc>
          <w:tcPr>
            <w:tcW w:w="8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17%</w:t>
            </w:r>
          </w:p>
        </w:tc>
        <w:tc>
          <w:tcPr>
            <w:tcW w:w="5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1.45</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-0.84</w:t>
            </w: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-13.17%</w:t>
            </w:r>
          </w:p>
        </w:tc>
      </w:tr>
      <w:tr>
        <w:tblPrEx>
          <w:tblCellMar>
            <w:top w:w="0" w:type="dxa"/>
            <w:left w:w="0" w:type="dxa"/>
            <w:bottom w:w="0" w:type="dxa"/>
            <w:right w:w="0" w:type="dxa"/>
          </w:tblCellMar>
        </w:tblPrEx>
        <w:trPr>
          <w:trHeight w:val="23"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2022</w:t>
            </w:r>
          </w:p>
        </w:tc>
        <w:tc>
          <w:tcPr>
            <w:tcW w:w="8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3625.88</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497.39</w:t>
            </w:r>
          </w:p>
        </w:tc>
        <w:tc>
          <w:tcPr>
            <w:tcW w:w="7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15.90%</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1874.13</w:t>
            </w: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331.64</w:t>
            </w:r>
          </w:p>
        </w:tc>
        <w:tc>
          <w:tcPr>
            <w:tcW w:w="9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21.50%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833.11</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21.72</w:t>
            </w:r>
          </w:p>
        </w:tc>
        <w:tc>
          <w:tcPr>
            <w:tcW w:w="8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2.68%</w:t>
            </w:r>
          </w:p>
        </w:tc>
        <w:tc>
          <w:tcPr>
            <w:tcW w:w="5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1.30</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-0.15</w:t>
            </w: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-10.34%</w:t>
            </w:r>
          </w:p>
        </w:tc>
      </w:tr>
      <w:tr>
        <w:tblPrEx>
          <w:tblCellMar>
            <w:top w:w="0" w:type="dxa"/>
            <w:left w:w="0" w:type="dxa"/>
            <w:bottom w:w="0" w:type="dxa"/>
            <w:right w:w="0" w:type="dxa"/>
          </w:tblCellMar>
        </w:tblPrEx>
        <w:trPr>
          <w:trHeight w:val="23" w:hRule="atLeast"/>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2023</w:t>
            </w:r>
          </w:p>
        </w:tc>
        <w:tc>
          <w:tcPr>
            <w:tcW w:w="8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3792.23</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166.35</w:t>
            </w:r>
          </w:p>
        </w:tc>
        <w:tc>
          <w:tcPr>
            <w:tcW w:w="7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4.59%</w:t>
            </w:r>
          </w:p>
        </w:tc>
        <w:tc>
          <w:tcPr>
            <w:tcW w:w="8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2534.08</w:t>
            </w: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659.95</w:t>
            </w:r>
          </w:p>
        </w:tc>
        <w:tc>
          <w:tcPr>
            <w:tcW w:w="9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35.21%</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916.40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83.29</w:t>
            </w:r>
          </w:p>
        </w:tc>
        <w:tc>
          <w:tcPr>
            <w:tcW w:w="8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10%</w:t>
            </w:r>
          </w:p>
        </w:tc>
        <w:tc>
          <w:tcPr>
            <w:tcW w:w="5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1.24</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-0.06</w:t>
            </w: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21"/>
                <w:szCs w:val="21"/>
                <w:highlight w:val="none"/>
                <w:u w:val="none"/>
                <w:lang w:val="en-US" w:eastAsia="zh-CN" w:bidi="ar"/>
              </w:rPr>
            </w:pPr>
            <w:r>
              <w:rPr>
                <w:rFonts w:hint="eastAsia" w:ascii="仿宋_GB2312" w:hAnsi="仿宋_GB2312" w:eastAsia="仿宋_GB2312" w:cs="仿宋_GB2312"/>
                <w:b w:val="0"/>
                <w:bCs w:val="0"/>
                <w:i w:val="0"/>
                <w:color w:val="auto"/>
                <w:kern w:val="0"/>
                <w:sz w:val="21"/>
                <w:szCs w:val="21"/>
                <w:highlight w:val="none"/>
                <w:u w:val="none"/>
                <w:lang w:val="en-US" w:eastAsia="zh-CN" w:bidi="ar"/>
              </w:rPr>
              <w:t>-4.62%</w:t>
            </w:r>
          </w:p>
        </w:tc>
      </w:tr>
    </w:tbl>
    <w:p>
      <w:pPr>
        <w:keepNext w:val="0"/>
        <w:keepLines w:val="0"/>
        <w:pageBreakBefore w:val="0"/>
        <w:kinsoku/>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5</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本年盈利、利润分配及股金分红情况等</w:t>
      </w:r>
    </w:p>
    <w:p>
      <w:pPr>
        <w:keepNext w:val="0"/>
        <w:keepLines w:val="0"/>
        <w:pageBreakBefore w:val="0"/>
        <w:widowControl/>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2023年汝阳兴福村镇银行营业利润1258万元，所得税调整290万元后，净利润916万元，未分配利润1710万元。利润分配具体情况见下表：</w:t>
      </w:r>
    </w:p>
    <w:tbl>
      <w:tblPr>
        <w:tblStyle w:val="10"/>
        <w:tblW w:w="0" w:type="auto"/>
        <w:jc w:val="center"/>
        <w:tblLayout w:type="fixed"/>
        <w:tblCellMar>
          <w:top w:w="0" w:type="dxa"/>
          <w:left w:w="108" w:type="dxa"/>
          <w:bottom w:w="0" w:type="dxa"/>
          <w:right w:w="108" w:type="dxa"/>
        </w:tblCellMar>
      </w:tblPr>
      <w:tblGrid>
        <w:gridCol w:w="2551"/>
        <w:gridCol w:w="1247"/>
        <w:gridCol w:w="1247"/>
        <w:gridCol w:w="1247"/>
        <w:gridCol w:w="1247"/>
        <w:gridCol w:w="1247"/>
      </w:tblGrid>
      <w:tr>
        <w:tblPrEx>
          <w:tblCellMar>
            <w:top w:w="0" w:type="dxa"/>
            <w:left w:w="108" w:type="dxa"/>
            <w:bottom w:w="0" w:type="dxa"/>
            <w:right w:w="108" w:type="dxa"/>
          </w:tblCellMar>
        </w:tblPrEx>
        <w:trPr>
          <w:trHeight w:val="340" w:hRule="exact"/>
          <w:jc w:val="center"/>
        </w:trPr>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单位：万元</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p>
        </w:tc>
      </w:tr>
      <w:tr>
        <w:tblPrEx>
          <w:tblCellMar>
            <w:top w:w="0" w:type="dxa"/>
            <w:left w:w="108" w:type="dxa"/>
            <w:bottom w:w="0" w:type="dxa"/>
            <w:right w:w="108" w:type="dxa"/>
          </w:tblCellMar>
        </w:tblPrEx>
        <w:trPr>
          <w:trHeight w:val="283" w:hRule="exact"/>
          <w:jc w:val="center"/>
        </w:trPr>
        <w:tc>
          <w:tcPr>
            <w:tcW w:w="2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项目名称</w:t>
            </w:r>
          </w:p>
        </w:tc>
        <w:tc>
          <w:tcPr>
            <w:tcW w:w="12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2019年度</w:t>
            </w:r>
          </w:p>
        </w:tc>
        <w:tc>
          <w:tcPr>
            <w:tcW w:w="12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2020年度</w:t>
            </w:r>
          </w:p>
        </w:tc>
        <w:tc>
          <w:tcPr>
            <w:tcW w:w="12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2021年度</w:t>
            </w:r>
          </w:p>
        </w:tc>
        <w:tc>
          <w:tcPr>
            <w:tcW w:w="12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2022年度</w:t>
            </w:r>
          </w:p>
        </w:tc>
        <w:tc>
          <w:tcPr>
            <w:tcW w:w="12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2023年度</w:t>
            </w:r>
          </w:p>
        </w:tc>
      </w:tr>
      <w:tr>
        <w:tblPrEx>
          <w:tblCellMar>
            <w:top w:w="0" w:type="dxa"/>
            <w:left w:w="108" w:type="dxa"/>
            <w:bottom w:w="0" w:type="dxa"/>
            <w:right w:w="108" w:type="dxa"/>
          </w:tblCellMar>
        </w:tblPrEx>
        <w:trPr>
          <w:trHeight w:val="283" w:hRule="exact"/>
          <w:jc w:val="center"/>
        </w:trPr>
        <w:tc>
          <w:tcPr>
            <w:tcW w:w="25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1. 净利润</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550.74</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693.50</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811.39</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833.11</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916.40</w:t>
            </w:r>
          </w:p>
        </w:tc>
      </w:tr>
      <w:tr>
        <w:tblPrEx>
          <w:tblCellMar>
            <w:top w:w="0" w:type="dxa"/>
            <w:left w:w="108" w:type="dxa"/>
            <w:bottom w:w="0" w:type="dxa"/>
            <w:right w:w="108" w:type="dxa"/>
          </w:tblCellMar>
        </w:tblPrEx>
        <w:trPr>
          <w:trHeight w:val="283" w:hRule="exact"/>
          <w:jc w:val="center"/>
        </w:trPr>
        <w:tc>
          <w:tcPr>
            <w:tcW w:w="25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加:上年结余未分配利润</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76.20</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351.57</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587.67</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1005.16</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1423.89</w:t>
            </w:r>
          </w:p>
        </w:tc>
      </w:tr>
      <w:tr>
        <w:tblPrEx>
          <w:tblCellMar>
            <w:top w:w="0" w:type="dxa"/>
            <w:left w:w="108" w:type="dxa"/>
            <w:bottom w:w="0" w:type="dxa"/>
            <w:right w:w="108" w:type="dxa"/>
          </w:tblCellMar>
        </w:tblPrEx>
        <w:trPr>
          <w:trHeight w:val="283" w:hRule="exact"/>
          <w:jc w:val="center"/>
        </w:trPr>
        <w:tc>
          <w:tcPr>
            <w:tcW w:w="25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2. 可供分配利润</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626.94</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1045.07</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1399.06</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1757.13</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2256.98</w:t>
            </w:r>
          </w:p>
        </w:tc>
      </w:tr>
      <w:tr>
        <w:tblPrEx>
          <w:tblCellMar>
            <w:top w:w="0" w:type="dxa"/>
            <w:left w:w="108" w:type="dxa"/>
            <w:bottom w:w="0" w:type="dxa"/>
            <w:right w:w="108" w:type="dxa"/>
          </w:tblCellMar>
        </w:tblPrEx>
        <w:trPr>
          <w:trHeight w:val="283" w:hRule="exact"/>
          <w:jc w:val="center"/>
        </w:trPr>
        <w:tc>
          <w:tcPr>
            <w:tcW w:w="25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减：提取法定盈余公积金</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110.15</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69.35</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150.49</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83.31</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91.64</w:t>
            </w:r>
          </w:p>
        </w:tc>
      </w:tr>
      <w:tr>
        <w:tblPrEx>
          <w:tblCellMar>
            <w:top w:w="0" w:type="dxa"/>
            <w:left w:w="108" w:type="dxa"/>
            <w:bottom w:w="0" w:type="dxa"/>
            <w:right w:w="108" w:type="dxa"/>
          </w:tblCellMar>
        </w:tblPrEx>
        <w:trPr>
          <w:trHeight w:val="283" w:hRule="exact"/>
          <w:jc w:val="center"/>
        </w:trPr>
        <w:tc>
          <w:tcPr>
            <w:tcW w:w="25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减：提取一般准备</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165.22</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208.05</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243.42</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249.93</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274.92</w:t>
            </w:r>
          </w:p>
        </w:tc>
      </w:tr>
      <w:tr>
        <w:tblPrEx>
          <w:tblCellMar>
            <w:top w:w="0" w:type="dxa"/>
            <w:left w:w="108" w:type="dxa"/>
            <w:bottom w:w="0" w:type="dxa"/>
            <w:right w:w="108" w:type="dxa"/>
          </w:tblCellMar>
        </w:tblPrEx>
        <w:trPr>
          <w:trHeight w:val="283" w:hRule="exact"/>
          <w:jc w:val="center"/>
        </w:trPr>
        <w:tc>
          <w:tcPr>
            <w:tcW w:w="25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减：现金股利</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180</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180</w:t>
            </w:r>
          </w:p>
        </w:tc>
      </w:tr>
      <w:tr>
        <w:tblPrEx>
          <w:tblCellMar>
            <w:top w:w="0" w:type="dxa"/>
            <w:left w:w="108" w:type="dxa"/>
            <w:bottom w:w="0" w:type="dxa"/>
            <w:right w:w="108" w:type="dxa"/>
          </w:tblCellMar>
        </w:tblPrEx>
        <w:trPr>
          <w:trHeight w:val="283" w:hRule="exact"/>
          <w:jc w:val="center"/>
        </w:trPr>
        <w:tc>
          <w:tcPr>
            <w:tcW w:w="255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3. 未分配利润</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351.57</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587.67</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1005.16</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1423.89</w:t>
            </w:r>
          </w:p>
        </w:tc>
        <w:tc>
          <w:tcPr>
            <w:tcW w:w="12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color w:val="auto"/>
                <w:kern w:val="0"/>
                <w:sz w:val="18"/>
                <w:szCs w:val="18"/>
                <w:highlight w:val="none"/>
                <w:u w:val="none"/>
                <w:lang w:val="en-US" w:eastAsia="zh-CN" w:bidi="ar"/>
              </w:rPr>
            </w:pPr>
            <w:r>
              <w:rPr>
                <w:rFonts w:hint="eastAsia" w:ascii="仿宋_GB2312" w:hAnsi="仿宋_GB2312" w:eastAsia="仿宋_GB2312" w:cs="仿宋_GB2312"/>
                <w:b w:val="0"/>
                <w:bCs w:val="0"/>
                <w:i w:val="0"/>
                <w:color w:val="auto"/>
                <w:kern w:val="0"/>
                <w:sz w:val="18"/>
                <w:szCs w:val="18"/>
                <w:highlight w:val="none"/>
                <w:u w:val="none"/>
                <w:lang w:val="en-US" w:eastAsia="zh-CN" w:bidi="ar"/>
              </w:rPr>
              <w:t>1710.42</w:t>
            </w:r>
          </w:p>
        </w:tc>
      </w:tr>
    </w:tbl>
    <w:p>
      <w:pPr>
        <w:keepNext w:val="0"/>
        <w:keepLines w:val="0"/>
        <w:pageBreakBefore w:val="0"/>
        <w:tabs>
          <w:tab w:val="left" w:pos="3690"/>
          <w:tab w:val="left" w:pos="5580"/>
        </w:tabs>
        <w:kinsoku/>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（三）在业务发展中存在的主要问题及采取的措施</w:t>
      </w:r>
    </w:p>
    <w:p>
      <w:pPr>
        <w:keepNext w:val="0"/>
        <w:keepLines w:val="0"/>
        <w:pageBreakBefore w:val="0"/>
        <w:widowControl w:val="0"/>
        <w:numPr>
          <w:ilvl w:val="0"/>
          <w:numId w:val="0"/>
        </w:numPr>
        <w:tabs>
          <w:tab w:val="left" w:pos="4500"/>
        </w:tabs>
        <w:kinsoku/>
        <w:wordWrap/>
        <w:overflowPunct/>
        <w:topLinePunct w:val="0"/>
        <w:autoSpaceDE/>
        <w:autoSpaceDN/>
        <w:bidi w:val="0"/>
        <w:adjustRightInd/>
        <w:snapToGrid/>
        <w:spacing w:before="0" w:beforeLines="0" w:after="0" w:afterLines="0" w:line="520" w:lineRule="exact"/>
        <w:ind w:right="0" w:rightChars="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kern w:val="0"/>
          <w:sz w:val="32"/>
          <w:szCs w:val="32"/>
          <w:lang w:val="en-US" w:eastAsia="zh-CN" w:bidi="ar-SA"/>
        </w:rPr>
        <w:t>1、客户回访执行力度不高。</w:t>
      </w:r>
      <w:r>
        <w:rPr>
          <w:rFonts w:hint="eastAsia" w:ascii="仿宋_GB2312" w:hAnsi="仿宋_GB2312" w:eastAsia="仿宋_GB2312" w:cs="仿宋_GB2312"/>
          <w:color w:val="auto"/>
          <w:kern w:val="0"/>
          <w:sz w:val="32"/>
          <w:szCs w:val="32"/>
          <w:highlight w:val="none"/>
          <w:lang w:val="en-US" w:eastAsia="zh-CN"/>
        </w:rPr>
        <w:t>大部分员工缺乏后期跟踪维护意识，造成客户资源浪费。下半年，制定下发员工回访登记表，要求对收集到的信息进行登记，并要求团队长做好后期督促检查工作。今后将继续加强员工对客户信息回访的指导和监督，做好新老客户维护及提升工作。</w:t>
      </w:r>
    </w:p>
    <w:p>
      <w:pPr>
        <w:keepNext w:val="0"/>
        <w:keepLines w:val="0"/>
        <w:pageBreakBefore w:val="0"/>
        <w:numPr>
          <w:ilvl w:val="0"/>
          <w:numId w:val="0"/>
        </w:numPr>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kern w:val="0"/>
          <w:sz w:val="32"/>
          <w:szCs w:val="32"/>
          <w:lang w:val="en-US" w:eastAsia="zh-CN" w:bidi="ar-SA"/>
        </w:rPr>
        <w:t>2、各项制度有落实不到位情况。</w:t>
      </w:r>
      <w:r>
        <w:rPr>
          <w:rFonts w:hint="eastAsia" w:ascii="仿宋_GB2312" w:hAnsi="仿宋_GB2312" w:eastAsia="仿宋_GB2312" w:cs="仿宋_GB2312"/>
          <w:b w:val="0"/>
          <w:bCs w:val="0"/>
          <w:color w:val="auto"/>
          <w:sz w:val="32"/>
          <w:szCs w:val="32"/>
          <w:highlight w:val="none"/>
          <w:lang w:val="en-US" w:eastAsia="zh-CN"/>
        </w:rPr>
        <w:t>虽然</w:t>
      </w:r>
      <w:r>
        <w:rPr>
          <w:rFonts w:hint="eastAsia" w:ascii="仿宋_GB2312" w:hAnsi="仿宋_GB2312" w:eastAsia="仿宋_GB2312" w:cs="仿宋_GB2312"/>
          <w:color w:val="auto"/>
          <w:sz w:val="32"/>
          <w:szCs w:val="32"/>
          <w:highlight w:val="none"/>
          <w:lang w:val="en-US" w:eastAsia="zh-CN"/>
        </w:rPr>
        <w:t>平时开会常讲，但有时落实情况不是特别到位，随着我行网点增加、人员增多，管理方法也有待提升，今后我行将强化风险合规和内审的监督，以常检查、来促改进。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kern w:val="0"/>
          <w:sz w:val="32"/>
          <w:szCs w:val="32"/>
          <w:lang w:val="en-US" w:eastAsia="zh-CN" w:bidi="ar-SA"/>
        </w:rPr>
        <w:t>3、后备人才储备不足。</w:t>
      </w:r>
      <w:r>
        <w:rPr>
          <w:rFonts w:hint="eastAsia" w:ascii="仿宋_GB2312" w:hAnsi="仿宋_GB2312" w:eastAsia="仿宋_GB2312" w:cs="仿宋_GB2312"/>
          <w:color w:val="auto"/>
          <w:sz w:val="32"/>
          <w:szCs w:val="32"/>
          <w:highlight w:val="none"/>
          <w:lang w:eastAsia="zh-CN"/>
        </w:rPr>
        <w:t>随着网点的不断开设，业务的扩张，对人才的要求与日俱增，日常后备人才培养力度不够，今后将继续强化优秀员工培养，及时储备后备人才。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kern w:val="0"/>
          <w:sz w:val="32"/>
          <w:szCs w:val="32"/>
          <w:lang w:val="en-US" w:eastAsia="zh-CN" w:bidi="ar-SA"/>
        </w:rPr>
        <w:t>4、部分高管缺职。</w:t>
      </w:r>
      <w:r>
        <w:rPr>
          <w:rFonts w:hint="eastAsia" w:ascii="仿宋_GB2312" w:hAnsi="仿宋_GB2312" w:eastAsia="仿宋_GB2312" w:cs="仿宋_GB2312"/>
          <w:color w:val="auto"/>
          <w:sz w:val="32"/>
          <w:szCs w:val="32"/>
          <w:highlight w:val="none"/>
          <w:lang w:val="en-US" w:eastAsia="zh-CN"/>
        </w:rPr>
        <w:t>根据投管行提名，赵营利同志担任我行行长，2024年3月28日取得其任职资格。同时已督促财务和合规部门负责人尽快考取相关任职资格证书，今后我行严格按照监管分局要求，认真履行高管任职资格核准制度，确保各项工作合规。</w:t>
      </w:r>
    </w:p>
    <w:p>
      <w:pPr>
        <w:pStyle w:val="9"/>
        <w:spacing w:before="0" w:beforeAutospacing="0" w:after="0" w:afterAutospacing="0" w:line="560" w:lineRule="exact"/>
        <w:ind w:firstLine="643"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）“三会”决议的落实情况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股东会、董事会、监事会的各项会议决议基本落实。</w:t>
      </w:r>
    </w:p>
    <w:p>
      <w:pPr>
        <w:keepNext w:val="0"/>
        <w:keepLines w:val="0"/>
        <w:pageBreakBefore w:val="0"/>
        <w:numPr>
          <w:ilvl w:val="0"/>
          <w:numId w:val="0"/>
        </w:numPr>
        <w:tabs>
          <w:tab w:val="left" w:pos="3690"/>
          <w:tab w:val="left" w:pos="5580"/>
        </w:tabs>
        <w:kinsoku/>
        <w:overflowPunct/>
        <w:topLinePunct w:val="0"/>
        <w:autoSpaceDE/>
        <w:autoSpaceDN/>
        <w:bidi w:val="0"/>
        <w:adjustRightInd/>
        <w:snapToGrid/>
        <w:spacing w:line="520" w:lineRule="exact"/>
        <w:ind w:left="630" w:leftChars="0"/>
        <w:textAlignment w:val="auto"/>
        <w:rPr>
          <w:rFonts w:hint="eastAsia" w:ascii="仿宋_GB2312" w:hAnsi="仿宋_GB2312" w:eastAsia="仿宋_GB2312" w:cs="仿宋_GB2312"/>
          <w:b/>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（五）汝阳兴福村镇银行2024年度经营计划：</w:t>
      </w:r>
    </w:p>
    <w:p>
      <w:pPr>
        <w:keepNext w:val="0"/>
        <w:keepLines w:val="0"/>
        <w:pageBreakBefore w:val="0"/>
        <w:numPr>
          <w:ilvl w:val="0"/>
          <w:numId w:val="0"/>
        </w:numPr>
        <w:tabs>
          <w:tab w:val="left" w:pos="3690"/>
          <w:tab w:val="left" w:pos="5580"/>
        </w:tabs>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sz w:val="32"/>
          <w:szCs w:val="32"/>
          <w:lang w:val="en-US" w:eastAsia="zh-CN"/>
        </w:rPr>
        <w:t xml:space="preserve">    1、</w:t>
      </w:r>
      <w:r>
        <w:rPr>
          <w:rFonts w:hint="eastAsia" w:ascii="仿宋_GB2312" w:hAnsi="仿宋_GB2312" w:eastAsia="仿宋_GB2312" w:cs="仿宋_GB2312"/>
          <w:color w:val="auto"/>
          <w:kern w:val="0"/>
          <w:sz w:val="32"/>
          <w:szCs w:val="32"/>
        </w:rPr>
        <w:t>年末存款</w:t>
      </w:r>
      <w:r>
        <w:rPr>
          <w:rFonts w:hint="eastAsia" w:ascii="仿宋_GB2312" w:hAnsi="仿宋_GB2312" w:eastAsia="仿宋_GB2312" w:cs="仿宋_GB2312"/>
          <w:color w:val="auto"/>
          <w:kern w:val="0"/>
          <w:sz w:val="32"/>
          <w:szCs w:val="32"/>
          <w:lang w:eastAsia="zh-CN"/>
        </w:rPr>
        <w:t>余额新增</w:t>
      </w:r>
      <w:r>
        <w:rPr>
          <w:rFonts w:hint="eastAsia" w:ascii="仿宋_GB2312" w:hAnsi="仿宋_GB2312" w:eastAsia="仿宋_GB2312" w:cs="仿宋_GB2312"/>
          <w:color w:val="auto"/>
          <w:kern w:val="0"/>
          <w:sz w:val="32"/>
          <w:szCs w:val="32"/>
          <w:lang w:val="en-US" w:eastAsia="zh-CN"/>
        </w:rPr>
        <w:t>17000万元；</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2、年末贷款余额新增6000万元；</w:t>
      </w:r>
    </w:p>
    <w:p>
      <w:pPr>
        <w:keepNext w:val="0"/>
        <w:keepLines w:val="0"/>
        <w:pageBreakBefore w:val="0"/>
        <w:widowControl w:val="0"/>
        <w:tabs>
          <w:tab w:val="left" w:pos="2880"/>
        </w:tabs>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3、实现营业利润1350万元；</w:t>
      </w:r>
    </w:p>
    <w:p>
      <w:pPr>
        <w:keepNext w:val="0"/>
        <w:keepLines w:val="0"/>
        <w:pageBreakBefore w:val="0"/>
        <w:widowControl w:val="0"/>
        <w:tabs>
          <w:tab w:val="left" w:pos="2880"/>
        </w:tabs>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4、新增信贷客户不低于550户；</w:t>
      </w:r>
    </w:p>
    <w:p>
      <w:pPr>
        <w:keepNext w:val="0"/>
        <w:keepLines w:val="0"/>
        <w:pageBreakBefore w:val="0"/>
        <w:widowControl w:val="0"/>
        <w:tabs>
          <w:tab w:val="left" w:pos="2880"/>
        </w:tabs>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5、新增2家支行；</w:t>
      </w:r>
    </w:p>
    <w:p>
      <w:pPr>
        <w:keepNext w:val="0"/>
        <w:keepLines w:val="0"/>
        <w:pageBreakBefore w:val="0"/>
        <w:widowControl w:val="0"/>
        <w:tabs>
          <w:tab w:val="left" w:pos="2880"/>
        </w:tabs>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不良贷款占比控制在</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33" w:firstLineChars="198"/>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lang w:eastAsia="zh-CN"/>
        </w:rPr>
        <w:t>各项监管</w:t>
      </w:r>
      <w:r>
        <w:rPr>
          <w:rFonts w:hint="eastAsia" w:ascii="仿宋_GB2312" w:hAnsi="仿宋_GB2312" w:eastAsia="仿宋_GB2312" w:cs="仿宋_GB2312"/>
          <w:color w:val="auto"/>
          <w:kern w:val="0"/>
          <w:sz w:val="32"/>
          <w:szCs w:val="32"/>
        </w:rPr>
        <w:t>指标确保符合监管要求；</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33" w:firstLineChars="19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确保不发生违法、严重违纪事件和“三防一保”安全事故。</w:t>
      </w:r>
    </w:p>
    <w:p>
      <w:pPr>
        <w:pStyle w:val="2"/>
        <w:rPr>
          <w:rFonts w:hint="eastAsia" w:ascii="黑体" w:hAnsi="黑体" w:eastAsia="黑体" w:cs="黑体"/>
          <w:b w:val="0"/>
          <w:bCs w:val="0"/>
          <w:sz w:val="32"/>
          <w:szCs w:val="32"/>
        </w:rPr>
      </w:pPr>
      <w:bookmarkStart w:id="5" w:name="_Toc10879"/>
      <w:r>
        <w:rPr>
          <w:rFonts w:hint="eastAsia" w:ascii="黑体" w:hAnsi="黑体" w:eastAsia="黑体" w:cs="黑体"/>
          <w:b w:val="0"/>
          <w:bCs w:val="0"/>
          <w:sz w:val="32"/>
          <w:szCs w:val="32"/>
        </w:rPr>
        <w:t>六、</w:t>
      </w:r>
      <w:r>
        <w:rPr>
          <w:rFonts w:hint="eastAsia" w:ascii="黑体" w:hAnsi="黑体" w:eastAsia="黑体" w:cs="黑体"/>
          <w:b w:val="0"/>
          <w:bCs w:val="0"/>
          <w:sz w:val="32"/>
          <w:szCs w:val="32"/>
          <w:lang w:eastAsia="zh-CN"/>
        </w:rPr>
        <w:t>汝阳兴福村镇银行2023</w:t>
      </w:r>
      <w:r>
        <w:rPr>
          <w:rFonts w:hint="eastAsia" w:ascii="黑体" w:hAnsi="黑体" w:eastAsia="黑体" w:cs="黑体"/>
          <w:b w:val="0"/>
          <w:bCs w:val="0"/>
          <w:sz w:val="32"/>
          <w:szCs w:val="32"/>
        </w:rPr>
        <w:t>年度重大事项</w:t>
      </w:r>
      <w:bookmarkEnd w:id="5"/>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（一）重大诉讼、仲裁事项</w:t>
      </w:r>
    </w:p>
    <w:p>
      <w:pPr>
        <w:spacing w:line="560" w:lineRule="exact"/>
        <w:ind w:firstLine="640" w:firstLineChars="200"/>
        <w:rPr>
          <w:rFonts w:hint="eastAsia" w:ascii="仿宋_GB2312" w:hAnsi="仿宋_GB2312" w:eastAsia="仿宋_GB2312" w:cs="仿宋_GB2312"/>
          <w:b/>
          <w:bCs/>
          <w:color w:val="00B0F0"/>
          <w:sz w:val="32"/>
          <w:szCs w:val="32"/>
        </w:rPr>
      </w:pPr>
      <w:r>
        <w:rPr>
          <w:rFonts w:hint="eastAsia" w:ascii="仿宋_GB2312" w:hAnsi="仿宋_GB2312" w:eastAsia="仿宋_GB2312" w:cs="仿宋_GB2312"/>
          <w:sz w:val="32"/>
          <w:szCs w:val="32"/>
        </w:rPr>
        <w:t>无重大诉讼、仲裁事项。</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（二）报告期内重大资产收购、出售或处置以及兼并事项</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 xml:space="preserve"> 报告期内未发生重大资产收购、出售或处置以及兼并情况。</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（三）聘任会计师事务所</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报告期内为保证本行财务运行真实、规范，切实维护股东的利益，</w:t>
      </w:r>
      <w:r>
        <w:rPr>
          <w:rFonts w:hint="eastAsia" w:ascii="仿宋_GB2312" w:hAnsi="仿宋_GB2312" w:eastAsia="仿宋_GB2312" w:cs="仿宋_GB2312"/>
          <w:bCs/>
          <w:sz w:val="32"/>
          <w:szCs w:val="32"/>
          <w:lang w:eastAsia="zh-CN"/>
        </w:rPr>
        <w:t>汝阳兴福村镇银行</w:t>
      </w:r>
      <w:r>
        <w:rPr>
          <w:rFonts w:hint="eastAsia" w:ascii="仿宋_GB2312" w:hAnsi="仿宋_GB2312" w:eastAsia="仿宋_GB2312" w:cs="仿宋_GB2312"/>
          <w:bCs/>
          <w:sz w:val="32"/>
          <w:szCs w:val="32"/>
        </w:rPr>
        <w:t>聘请德勤华永会计师事务所(特殊普通合伙)作为本行的审计机构。</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（四）报告期内，</w:t>
      </w:r>
      <w:r>
        <w:rPr>
          <w:rFonts w:hint="eastAsia" w:ascii="仿宋_GB2312" w:hAnsi="仿宋_GB2312" w:eastAsia="仿宋_GB2312" w:cs="仿宋_GB2312"/>
          <w:b/>
          <w:sz w:val="32"/>
          <w:szCs w:val="32"/>
          <w:lang w:eastAsia="zh-CN"/>
        </w:rPr>
        <w:t>汝阳兴福村镇银行</w:t>
      </w:r>
      <w:r>
        <w:rPr>
          <w:rFonts w:hint="eastAsia" w:ascii="仿宋_GB2312" w:hAnsi="仿宋_GB2312" w:eastAsia="仿宋_GB2312" w:cs="仿宋_GB2312"/>
          <w:b/>
          <w:sz w:val="32"/>
          <w:szCs w:val="32"/>
        </w:rPr>
        <w:t>董事长及其他高级管理人员受到监管部门的处罚及变动情况</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报告期内未发生董事长及其他高级管理人员受到监管部门处罚的情况。</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报告期内本行高级管理人员变动情况：</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2023年1月，赵营利同志因疫情原因其行长（代为履职）职务未及时得到监管部门批复，调整其岗位为普惠金融部负责人。</w:t>
      </w:r>
    </w:p>
    <w:p>
      <w:pPr>
        <w:numPr>
          <w:ilvl w:val="0"/>
          <w:numId w:val="1"/>
        </w:num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汝阳兴福村镇银行</w:t>
      </w:r>
      <w:r>
        <w:rPr>
          <w:rFonts w:hint="eastAsia" w:ascii="仿宋_GB2312" w:hAnsi="仿宋_GB2312" w:eastAsia="仿宋_GB2312" w:cs="仿宋_GB2312"/>
          <w:b/>
          <w:sz w:val="32"/>
          <w:szCs w:val="32"/>
        </w:rPr>
        <w:t>和辖内支行营业地址变更情况</w:t>
      </w:r>
    </w:p>
    <w:p>
      <w:pPr>
        <w:spacing w:line="560" w:lineRule="exact"/>
        <w:rPr>
          <w:rFonts w:hint="eastAsia" w:ascii="仿宋_GB2312" w:hAnsi="仿宋_GB2312" w:eastAsia="仿宋_GB2312" w:cs="仿宋_GB2312"/>
          <w:b/>
          <w:color w:val="FF0000"/>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报告期内未发生银行和辖内支行营业地址变更情况。</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（六）辖内分支机构升格、降格与合并、分设、重组情况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报告期内未发生分支机构升格、降格与合并、分设、重组情况。</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（七）业务范围变更情况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报告期内未发生业务范围变更情况。</w:t>
      </w:r>
    </w:p>
    <w:p>
      <w:pPr>
        <w:numPr>
          <w:ilvl w:val="0"/>
          <w:numId w:val="2"/>
        </w:num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股权变更情况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2023年12月1日，根据《国家金融监督管理总局河南监管局关于汝阳兴福村镇银行有限责任公司股权变更的批复》（</w:t>
      </w:r>
      <w:r>
        <w:rPr>
          <w:rFonts w:hint="eastAsia" w:ascii="仿宋_GB2312" w:hAnsi="仿宋_GB2312" w:eastAsia="仿宋_GB2312" w:cs="仿宋_GB2312"/>
          <w:sz w:val="32"/>
          <w:szCs w:val="32"/>
        </w:rPr>
        <w:t>豫金复〔2023〕201号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行股东兴福村镇银行股份有限公司受让河南海鑫毛毯纺织有限公司所持的150万股股权，变更后，兴福村镇银行股份有限公司所持我行股份由2220万股增至2370万股，持股比列74%增加至79%，原股东河南海鑫毛毯纺织有限公司退出我行股东行列</w:t>
      </w:r>
      <w:r>
        <w:rPr>
          <w:rFonts w:hint="eastAsia" w:ascii="仿宋_GB2312" w:hAnsi="仿宋_GB2312" w:eastAsia="仿宋_GB2312" w:cs="仿宋_GB2312"/>
          <w:sz w:val="32"/>
          <w:szCs w:val="32"/>
        </w:rPr>
        <w:t>。</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（九）</w:t>
      </w:r>
      <w:r>
        <w:rPr>
          <w:rFonts w:hint="eastAsia" w:ascii="仿宋_GB2312" w:hAnsi="仿宋_GB2312" w:eastAsia="仿宋_GB2312" w:cs="仿宋_GB2312"/>
          <w:b/>
          <w:sz w:val="32"/>
          <w:szCs w:val="32"/>
        </w:rPr>
        <w:t>重大的关联交易</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截至2023年12月31日，报告期内，我行发生重大关联交易共计2笔，交易金额共计300万元。分别是我行内部员工黄岚的配偶父亲胡钢强交易金额为100万元，我行内部员工张高远的配偶父亲黄团交易金额为200万元。</w:t>
      </w:r>
    </w:p>
    <w:p>
      <w:pPr>
        <w:pStyle w:val="2"/>
        <w:rPr>
          <w:rFonts w:hint="eastAsia" w:ascii="黑体" w:hAnsi="黑体" w:eastAsia="黑体" w:cs="黑体"/>
          <w:b w:val="0"/>
          <w:bCs w:val="0"/>
          <w:sz w:val="32"/>
          <w:szCs w:val="32"/>
        </w:rPr>
      </w:pPr>
      <w:bookmarkStart w:id="6" w:name="_Toc22340"/>
      <w:r>
        <w:rPr>
          <w:rFonts w:hint="eastAsia" w:ascii="黑体" w:hAnsi="黑体" w:eastAsia="黑体" w:cs="黑体"/>
          <w:b w:val="0"/>
          <w:bCs w:val="0"/>
          <w:sz w:val="32"/>
          <w:szCs w:val="32"/>
        </w:rPr>
        <w:t>七、</w:t>
      </w:r>
      <w:r>
        <w:rPr>
          <w:rFonts w:hint="eastAsia" w:ascii="黑体" w:hAnsi="黑体" w:eastAsia="黑体" w:cs="黑体"/>
          <w:b w:val="0"/>
          <w:bCs w:val="0"/>
          <w:sz w:val="32"/>
          <w:szCs w:val="32"/>
          <w:lang w:eastAsia="zh-CN"/>
        </w:rPr>
        <w:t>汝阳兴福村镇银行</w:t>
      </w:r>
      <w:r>
        <w:rPr>
          <w:rFonts w:hint="eastAsia" w:ascii="黑体" w:hAnsi="黑体" w:eastAsia="黑体" w:cs="黑体"/>
          <w:b w:val="0"/>
          <w:bCs w:val="0"/>
          <w:sz w:val="32"/>
          <w:szCs w:val="32"/>
        </w:rPr>
        <w:t>资本充足率情况</w:t>
      </w:r>
      <w:bookmarkEnd w:id="6"/>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2023</w:t>
      </w:r>
      <w:r>
        <w:rPr>
          <w:rFonts w:hint="eastAsia" w:ascii="仿宋_GB2312" w:hAnsi="仿宋_GB2312" w:eastAsia="仿宋_GB2312" w:cs="仿宋_GB2312"/>
          <w:sz w:val="32"/>
          <w:szCs w:val="32"/>
          <w:highlight w:val="none"/>
        </w:rPr>
        <w:t>年末资本充足率达到</w:t>
      </w:r>
      <w:r>
        <w:rPr>
          <w:rFonts w:hint="eastAsia" w:ascii="仿宋_GB2312" w:hAnsi="仿宋_GB2312" w:eastAsia="仿宋_GB2312" w:cs="仿宋_GB2312"/>
          <w:sz w:val="32"/>
          <w:szCs w:val="32"/>
          <w:highlight w:val="none"/>
          <w:lang w:val="en-US" w:eastAsia="zh-CN"/>
        </w:rPr>
        <w:t>12.86</w:t>
      </w:r>
      <w:r>
        <w:rPr>
          <w:rFonts w:hint="eastAsia" w:ascii="仿宋_GB2312" w:hAnsi="仿宋_GB2312" w:eastAsia="仿宋_GB2312" w:cs="仿宋_GB2312"/>
          <w:sz w:val="32"/>
          <w:szCs w:val="32"/>
          <w:highlight w:val="none"/>
        </w:rPr>
        <w:t>%。</w:t>
      </w:r>
    </w:p>
    <w:p>
      <w:pPr>
        <w:pStyle w:val="2"/>
        <w:rPr>
          <w:rFonts w:hint="eastAsia" w:ascii="黑体" w:hAnsi="黑体" w:eastAsia="黑体" w:cs="黑体"/>
          <w:b w:val="0"/>
          <w:bCs w:val="0"/>
          <w:sz w:val="32"/>
          <w:szCs w:val="32"/>
        </w:rPr>
      </w:pPr>
      <w:bookmarkStart w:id="7" w:name="_Toc31355"/>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汝阳兴福村镇银行</w:t>
      </w:r>
      <w:r>
        <w:rPr>
          <w:rFonts w:hint="eastAsia" w:ascii="黑体" w:hAnsi="黑体" w:eastAsia="黑体" w:cs="黑体"/>
          <w:b w:val="0"/>
          <w:bCs w:val="0"/>
          <w:sz w:val="32"/>
          <w:szCs w:val="32"/>
        </w:rPr>
        <w:t>经营风险情况</w:t>
      </w:r>
      <w:bookmarkEnd w:id="7"/>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（一）各类风险防范措施及效果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1、建立健全各项规章制度，不断完善内控制度，加强内部控制，抑制内部违规行为，要在已构筑的风险防范监控防线上加强</w:t>
      </w:r>
      <w:r>
        <w:rPr>
          <w:rFonts w:hint="eastAsia" w:ascii="仿宋_GB2312" w:hAnsi="仿宋_GB2312" w:eastAsia="仿宋_GB2312" w:cs="仿宋_GB2312"/>
          <w:sz w:val="32"/>
          <w:szCs w:val="32"/>
          <w:lang w:eastAsia="zh-CN"/>
        </w:rPr>
        <w:t>贷</w:t>
      </w:r>
      <w:r>
        <w:rPr>
          <w:rFonts w:hint="eastAsia" w:ascii="仿宋_GB2312" w:hAnsi="仿宋_GB2312" w:eastAsia="仿宋_GB2312" w:cs="仿宋_GB2312"/>
          <w:sz w:val="32"/>
          <w:szCs w:val="32"/>
        </w:rPr>
        <w:t>后的监督管理，</w:t>
      </w:r>
      <w:r>
        <w:rPr>
          <w:rFonts w:hint="eastAsia" w:ascii="仿宋_GB2312" w:hAnsi="仿宋_GB2312" w:eastAsia="仿宋_GB2312" w:cs="仿宋_GB2312"/>
          <w:sz w:val="32"/>
          <w:szCs w:val="32"/>
          <w:lang w:eastAsia="zh-CN"/>
        </w:rPr>
        <w:t>做到早发现、早处理，降低贷款风险发生</w:t>
      </w:r>
      <w:r>
        <w:rPr>
          <w:rFonts w:hint="eastAsia" w:ascii="仿宋_GB2312" w:hAnsi="仿宋_GB2312" w:eastAsia="仿宋_GB2312" w:cs="仿宋_GB2312"/>
          <w:sz w:val="32"/>
          <w:szCs w:val="32"/>
        </w:rPr>
        <w:t>，提高村镇银行风险防范化解能力。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2、在信贷业务拓展中注重风险管理，一是贷款投向上分散风险，行业上不能过于集中；二是在借款对象上，不能垒大户；三是根据实际情况同当地经济发展紧密联系起来，发展有特色的金融产品，把资金投向</w:t>
      </w:r>
      <w:r>
        <w:rPr>
          <w:rFonts w:hint="eastAsia" w:ascii="仿宋_GB2312" w:hAnsi="仿宋_GB2312" w:eastAsia="仿宋_GB2312" w:cs="仿宋_GB2312"/>
          <w:color w:val="auto"/>
          <w:sz w:val="32"/>
          <w:szCs w:val="32"/>
        </w:rPr>
        <w:t>特色农业、林业及个体经济发展中去，支持区域经济发展，</w:t>
      </w:r>
      <w:r>
        <w:rPr>
          <w:rFonts w:hint="eastAsia" w:ascii="仿宋_GB2312" w:hAnsi="仿宋_GB2312" w:eastAsia="仿宋_GB2312" w:cs="仿宋_GB2312"/>
          <w:color w:val="auto"/>
          <w:sz w:val="32"/>
          <w:szCs w:val="32"/>
          <w:lang w:eastAsia="zh-CN"/>
        </w:rPr>
        <w:t>下沉业务，在三农、做小、做散</w:t>
      </w:r>
      <w:r>
        <w:rPr>
          <w:rFonts w:hint="eastAsia" w:ascii="仿宋_GB2312" w:hAnsi="仿宋_GB2312" w:eastAsia="仿宋_GB2312" w:cs="仿宋_GB2312"/>
          <w:color w:val="auto"/>
          <w:sz w:val="32"/>
          <w:szCs w:val="32"/>
        </w:rPr>
        <w:t>方面做足文章。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规范贷款操作程序，从源头防范风险。在贷款申请、贷前调查、贷款审批、办理担保或抵质押、贷款发放、贷后检查监督、贷款收回、贷款展期、逾期处理等环节中，注意各种书面资料的收集和整理，保证资料的真实性、完整性、合规合法性。认真执行内控制度，依据各级监管部门制定下达的各项规章制度办理各项业务，以铁的制度规范操作行为，提高制度执行力，增强风险意识，降低差错率。同时做好事前监控、事中控制、事后监督，提高工作效率和服务质量，促进各项业务快速发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坚持稳健发展、高质量发展的发展观，建立科学的绩效考核机制，引导员工加强品行修养、强化合规意识。将内控合规管理建设纳入长期发展战略中，作为一项长期性、常态性工作来抓，夯实“不想违规”的思想基础，筑牢“不能违规”的制度环境，保持“不敢违规”的高压态势，健全“规则牢不可破”的内控体系，形成治根本、管长远的内控合规长效机制。</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）信贷风险状况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监管部门对于信贷风险的制度指引及本行信贷政策，本行严格落实贷前风险防控措施，在诚信度、经营实力和经营管理经验、担保条件等方面，明确各类产品及客户的准入条件；严格按银保监会规定测算客户流动资金需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本行成立贷审会，负责审查信贷业务的合法性、合规性等。同时，根据银保监会“三个办法一个</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”要求，本行专门设置了贷款发放审核部门和专职发放审核岗位，加强贷款发放审核，对超过受托支付起点金额的贷款资金严格按要求进行受托支付。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贷后管理，对已经获批投放的贷款加强管理，严格按照贷后管理要求搜集借款人的关键信息资料，及时了解掌握借款人生产经营情况；实时监控贷款资金流向，确保贷款资金不被挪用；对贷款项目及担保情况定时或不定时进行现场检查，及时发现借款人存在的问题并制定风险防范措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控制风险监管的核心指标，本行对存贷比、拨备覆盖率、单一客户集中度、行业集中度、上下游集中度、以及公司互相提供担保集中度等等做出了具体的、严格的指标要求。同时本行制定了具体的数据汇总以及控制流程，以确保在任何时点，本行的各项核心指标将同时符合监管及本行的内部要求。</w:t>
      </w:r>
    </w:p>
    <w:p>
      <w:pPr>
        <w:keepNext w:val="0"/>
        <w:keepLines w:val="0"/>
        <w:pageBreakBefore w:val="0"/>
        <w:tabs>
          <w:tab w:val="left" w:pos="3690"/>
          <w:tab w:val="left" w:pos="5580"/>
        </w:tabs>
        <w:kinsoku/>
        <w:overflowPunct/>
        <w:topLinePunct w:val="0"/>
        <w:autoSpaceDE/>
        <w:autoSpaceDN/>
        <w:bidi w:val="0"/>
        <w:adjustRightInd/>
        <w:snapToGrid/>
        <w:spacing w:line="520" w:lineRule="exact"/>
        <w:textAlignment w:val="auto"/>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lang w:eastAsia="zh-CN"/>
        </w:rPr>
        <w:t>（三）贷款抵质押率情况</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汝阳兴福村镇银行</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年发放抵、质押贷款</w:t>
      </w:r>
      <w:r>
        <w:rPr>
          <w:rFonts w:hint="eastAsia" w:ascii="仿宋_GB2312" w:hAnsi="仿宋_GB2312" w:eastAsia="仿宋_GB2312" w:cs="仿宋_GB2312"/>
          <w:color w:val="auto"/>
          <w:sz w:val="32"/>
          <w:szCs w:val="32"/>
          <w:highlight w:val="none"/>
          <w:lang w:val="en-US" w:eastAsia="zh-CN"/>
        </w:rPr>
        <w:t>10850.69</w:t>
      </w:r>
      <w:r>
        <w:rPr>
          <w:rFonts w:hint="eastAsia" w:ascii="仿宋_GB2312" w:hAnsi="仿宋_GB2312" w:eastAsia="仿宋_GB2312" w:cs="仿宋_GB2312"/>
          <w:color w:val="auto"/>
          <w:sz w:val="32"/>
          <w:szCs w:val="32"/>
          <w:highlight w:val="none"/>
        </w:rPr>
        <w:t>万元，抵、质押率全部符合要求</w:t>
      </w:r>
      <w:r>
        <w:rPr>
          <w:rFonts w:hint="eastAsia" w:ascii="仿宋_GB2312" w:hAnsi="仿宋_GB2312" w:eastAsia="仿宋_GB2312" w:cs="仿宋_GB2312"/>
          <w:color w:val="auto"/>
          <w:sz w:val="32"/>
          <w:szCs w:val="32"/>
          <w:highlight w:val="none"/>
          <w:lang w:val="en-US" w:eastAsia="zh-CN"/>
        </w:rPr>
        <w:t>,抵质押手续齐全。</w:t>
      </w:r>
    </w:p>
    <w:p>
      <w:pPr>
        <w:keepNext w:val="0"/>
        <w:keepLines w:val="0"/>
        <w:pageBreakBefore w:val="0"/>
        <w:tabs>
          <w:tab w:val="left" w:pos="3690"/>
          <w:tab w:val="left" w:pos="5580"/>
        </w:tabs>
        <w:kinsoku/>
        <w:overflowPunct/>
        <w:topLinePunct w:val="0"/>
        <w:autoSpaceDE/>
        <w:autoSpaceDN/>
        <w:bidi w:val="0"/>
        <w:adjustRightInd/>
        <w:snapToGrid/>
        <w:spacing w:line="520" w:lineRule="exact"/>
        <w:textAlignment w:val="auto"/>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lang w:eastAsia="zh-CN"/>
        </w:rPr>
        <w:t>（四）控制风险权重资产情况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银行经营活动中主要面临信用风险、市场风险、操作风险、政策风险和道德风险。汝阳兴福村镇银行贷款余额</w:t>
      </w:r>
      <w:r>
        <w:rPr>
          <w:rFonts w:hint="eastAsia" w:ascii="仿宋_GB2312" w:hAnsi="仿宋_GB2312" w:eastAsia="仿宋_GB2312" w:cs="仿宋_GB2312"/>
          <w:color w:val="auto"/>
          <w:sz w:val="32"/>
          <w:szCs w:val="32"/>
          <w:highlight w:val="none"/>
          <w:lang w:val="en-US" w:eastAsia="zh-CN"/>
        </w:rPr>
        <w:t>59108</w:t>
      </w:r>
      <w:r>
        <w:rPr>
          <w:rFonts w:hint="eastAsia" w:ascii="仿宋_GB2312" w:hAnsi="仿宋_GB2312" w:eastAsia="仿宋_GB2312" w:cs="仿宋_GB2312"/>
          <w:color w:val="auto"/>
          <w:sz w:val="32"/>
          <w:szCs w:val="32"/>
          <w:highlight w:val="none"/>
        </w:rPr>
        <w:t>万元；其中正常贷款为</w:t>
      </w:r>
      <w:r>
        <w:rPr>
          <w:rFonts w:hint="eastAsia" w:ascii="仿宋_GB2312" w:hAnsi="仿宋_GB2312" w:eastAsia="仿宋_GB2312" w:cs="仿宋_GB2312"/>
          <w:color w:val="auto"/>
          <w:sz w:val="32"/>
          <w:szCs w:val="32"/>
          <w:highlight w:val="none"/>
          <w:lang w:val="en-US" w:eastAsia="zh-CN"/>
        </w:rPr>
        <w:t>5.81亿</w:t>
      </w:r>
      <w:r>
        <w:rPr>
          <w:rFonts w:hint="eastAsia" w:ascii="仿宋_GB2312" w:hAnsi="仿宋_GB2312" w:eastAsia="仿宋_GB2312" w:cs="仿宋_GB2312"/>
          <w:color w:val="auto"/>
          <w:sz w:val="32"/>
          <w:szCs w:val="32"/>
          <w:highlight w:val="none"/>
        </w:rPr>
        <w:t>元，关注贷款为</w:t>
      </w:r>
      <w:r>
        <w:rPr>
          <w:rFonts w:hint="eastAsia" w:ascii="仿宋_GB2312" w:hAnsi="仿宋_GB2312" w:eastAsia="仿宋_GB2312" w:cs="仿宋_GB2312"/>
          <w:color w:val="auto"/>
          <w:sz w:val="32"/>
          <w:szCs w:val="32"/>
          <w:highlight w:val="none"/>
          <w:lang w:val="en-US" w:eastAsia="zh-CN"/>
        </w:rPr>
        <w:t>619.55</w:t>
      </w:r>
      <w:r>
        <w:rPr>
          <w:rFonts w:hint="eastAsia" w:ascii="仿宋_GB2312" w:hAnsi="仿宋_GB2312" w:eastAsia="仿宋_GB2312" w:cs="仿宋_GB2312"/>
          <w:color w:val="auto"/>
          <w:sz w:val="32"/>
          <w:szCs w:val="32"/>
          <w:highlight w:val="none"/>
        </w:rPr>
        <w:t>万元，截至2023年12月31日，次级贷款为302.32万元，可疑贷款为7.58万元，损失贷款为0.07万元，化解风险、控制权重的关键是清收不良贷款，减少非生息资产。</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）声誉风险情况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报告期内，本行无重大声誉风险发生。</w:t>
      </w:r>
    </w:p>
    <w:p>
      <w:pPr>
        <w:numPr>
          <w:ilvl w:val="0"/>
          <w:numId w:val="0"/>
        </w:numPr>
        <w:spacing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highlight w:val="none"/>
          <w:lang w:val="en-US" w:eastAsia="zh-CN"/>
        </w:rPr>
        <w:t xml:space="preserve">   </w:t>
      </w:r>
      <w:r>
        <w:rPr>
          <w:rStyle w:val="14"/>
          <w:rFonts w:hint="eastAsia" w:ascii="黑体" w:hAnsi="黑体" w:eastAsia="黑体" w:cs="黑体"/>
          <w:b w:val="0"/>
          <w:bCs w:val="0"/>
          <w:sz w:val="32"/>
          <w:szCs w:val="32"/>
          <w:lang w:val="en-US" w:eastAsia="zh-CN"/>
        </w:rPr>
        <w:t xml:space="preserve"> </w:t>
      </w:r>
      <w:bookmarkStart w:id="8" w:name="_Toc26735"/>
      <w:r>
        <w:rPr>
          <w:rStyle w:val="14"/>
          <w:rFonts w:hint="eastAsia" w:ascii="黑体" w:hAnsi="黑体" w:eastAsia="黑体" w:cs="黑体"/>
          <w:b w:val="0"/>
          <w:bCs w:val="0"/>
          <w:sz w:val="32"/>
          <w:szCs w:val="32"/>
          <w:lang w:eastAsia="zh-CN"/>
        </w:rPr>
        <w:t>九、</w:t>
      </w:r>
      <w:r>
        <w:rPr>
          <w:rStyle w:val="14"/>
          <w:rFonts w:hint="eastAsia" w:ascii="黑体" w:hAnsi="黑体" w:eastAsia="黑体" w:cs="黑体"/>
          <w:b w:val="0"/>
          <w:bCs w:val="0"/>
          <w:sz w:val="32"/>
          <w:szCs w:val="32"/>
        </w:rPr>
        <w:t>关联交易情况</w:t>
      </w:r>
      <w:bookmarkEnd w:id="8"/>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截至2023年12月31日，报告期内，我行对关联方交易余额为319.75万元，资本净额为 7176.30万元，占比 4.46%。报告期内，我行发生一般关联交易4笔，交易金额为69万元，交易余额为58.75万元；重大关联交易2笔，交易金额为300万元。</w:t>
      </w:r>
    </w:p>
    <w:p>
      <w:pPr>
        <w:pStyle w:val="2"/>
        <w:rPr>
          <w:rFonts w:hint="eastAsia" w:ascii="黑体" w:hAnsi="黑体" w:eastAsia="黑体" w:cs="黑体"/>
          <w:b w:val="0"/>
          <w:bCs w:val="0"/>
          <w:sz w:val="32"/>
          <w:szCs w:val="32"/>
        </w:rPr>
      </w:pPr>
      <w:bookmarkStart w:id="9" w:name="_Toc23350"/>
      <w:r>
        <w:rPr>
          <w:rFonts w:hint="eastAsia" w:ascii="黑体" w:hAnsi="黑体" w:eastAsia="黑体" w:cs="黑体"/>
          <w:b w:val="0"/>
          <w:bCs w:val="0"/>
          <w:sz w:val="32"/>
          <w:szCs w:val="32"/>
          <w:lang w:eastAsia="zh-CN"/>
        </w:rPr>
        <w:t>十、</w:t>
      </w:r>
      <w:r>
        <w:rPr>
          <w:rFonts w:hint="eastAsia" w:ascii="黑体" w:hAnsi="黑体" w:eastAsia="黑体" w:cs="黑体"/>
          <w:b w:val="0"/>
          <w:bCs w:val="0"/>
          <w:sz w:val="32"/>
          <w:szCs w:val="32"/>
        </w:rPr>
        <w:t>消费者权益保护工作情况</w:t>
      </w:r>
      <w:bookmarkEnd w:id="9"/>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Style w:val="12"/>
          <w:rFonts w:hint="eastAsia" w:ascii="仿宋_GB2312" w:hAnsi="仿宋_GB2312" w:eastAsia="仿宋_GB2312" w:cs="仿宋_GB2312"/>
          <w:b/>
          <w:bCs/>
          <w:color w:val="000000"/>
          <w:sz w:val="32"/>
          <w:szCs w:val="32"/>
          <w:highlight w:val="none"/>
        </w:rPr>
      </w:pPr>
      <w:r>
        <w:rPr>
          <w:rStyle w:val="12"/>
          <w:rFonts w:hint="eastAsia" w:ascii="仿宋_GB2312" w:hAnsi="仿宋_GB2312" w:eastAsia="仿宋_GB2312" w:cs="仿宋_GB2312"/>
          <w:b/>
          <w:bCs/>
          <w:color w:val="000000"/>
          <w:sz w:val="32"/>
          <w:szCs w:val="32"/>
          <w:highlight w:val="none"/>
        </w:rPr>
        <w:t>(</w:t>
      </w:r>
      <w:r>
        <w:rPr>
          <w:rStyle w:val="12"/>
          <w:rFonts w:hint="eastAsia" w:ascii="仿宋_GB2312" w:hAnsi="仿宋_GB2312" w:eastAsia="仿宋_GB2312" w:cs="仿宋_GB2312"/>
          <w:b/>
          <w:bCs/>
          <w:color w:val="000000"/>
          <w:sz w:val="32"/>
          <w:szCs w:val="32"/>
          <w:highlight w:val="none"/>
          <w:lang w:val="en-US" w:eastAsia="zh-CN"/>
        </w:rPr>
        <w:t>一</w:t>
      </w:r>
      <w:r>
        <w:rPr>
          <w:rStyle w:val="12"/>
          <w:rFonts w:hint="eastAsia" w:ascii="仿宋_GB2312" w:hAnsi="仿宋_GB2312" w:eastAsia="仿宋_GB2312" w:cs="仿宋_GB2312"/>
          <w:b/>
          <w:bCs/>
          <w:color w:val="000000"/>
          <w:sz w:val="32"/>
          <w:szCs w:val="32"/>
          <w:highlight w:val="none"/>
        </w:rPr>
        <w:t xml:space="preserve">)消费者权益保护工作开展总体情况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sz w:val="32"/>
          <w:szCs w:val="32"/>
          <w:highlight w:val="none"/>
        </w:rPr>
      </w:pPr>
      <w:r>
        <w:rPr>
          <w:rStyle w:val="12"/>
          <w:rFonts w:hint="eastAsia" w:ascii="仿宋_GB2312" w:hAnsi="仿宋_GB2312" w:eastAsia="仿宋_GB2312" w:cs="仿宋_GB2312"/>
          <w:color w:val="000000"/>
          <w:sz w:val="32"/>
          <w:szCs w:val="32"/>
          <w:highlight w:val="none"/>
          <w:lang w:eastAsia="zh-CN"/>
        </w:rPr>
        <w:t>2023年汝阳兴福村镇银行在各级银监机构的监管指导下加强金融消费者权益保护工作，畅通渠道，主动接受社会监督，加强外部沟通协调，营造消费者保护的良好氛围，自2015年1月成立以来逐步建立健全金融消费者权益保护工作机制，一是将消费者权益保护融入公司治理环节。修订《汝阳兴福村镇银行股份有限公司章程》，董事会负责本行消费者权益保护工作，承担消费者权益保护工作的最终责任，将消费者权益保护纳入经营发展战略和企业文化建设；二是强化各层级管理职能履职行为。确保消保工作有序进行。</w:t>
      </w:r>
      <w:r>
        <w:rPr>
          <w:rStyle w:val="12"/>
          <w:rFonts w:hint="eastAsia" w:ascii="仿宋_GB2312" w:hAnsi="仿宋_GB2312" w:eastAsia="仿宋_GB2312" w:cs="仿宋_GB2312"/>
          <w:color w:val="000000"/>
          <w:sz w:val="32"/>
          <w:szCs w:val="32"/>
          <w:highlight w:val="none"/>
        </w:rPr>
        <w:t xml:space="preserve"> </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w:t>
      </w:r>
      <w:r>
        <w:rPr>
          <w:rStyle w:val="12"/>
          <w:rFonts w:hint="eastAsia" w:ascii="仿宋_GB2312" w:hAnsi="仿宋_GB2312" w:eastAsia="仿宋_GB2312" w:cs="仿宋_GB2312"/>
          <w:b/>
          <w:bCs/>
          <w:color w:val="000000"/>
          <w:sz w:val="32"/>
          <w:szCs w:val="32"/>
          <w:highlight w:val="none"/>
        </w:rPr>
        <w:t>投诉应对</w:t>
      </w:r>
      <w:r>
        <w:rPr>
          <w:rStyle w:val="12"/>
          <w:rFonts w:hint="eastAsia" w:ascii="仿宋_GB2312" w:hAnsi="仿宋_GB2312" w:eastAsia="仿宋_GB2312" w:cs="仿宋_GB2312"/>
          <w:b/>
          <w:bCs/>
          <w:color w:val="000000"/>
          <w:sz w:val="32"/>
          <w:szCs w:val="32"/>
          <w:highlight w:val="none"/>
          <w:lang w:val="en-US" w:eastAsia="zh-CN"/>
        </w:rPr>
        <w:t>方面</w:t>
      </w:r>
      <w:r>
        <w:rPr>
          <w:rStyle w:val="12"/>
          <w:rFonts w:hint="eastAsia" w:ascii="仿宋_GB2312" w:hAnsi="仿宋_GB2312" w:eastAsia="仿宋_GB2312" w:cs="仿宋_GB2312"/>
          <w:color w:val="000000"/>
          <w:sz w:val="32"/>
          <w:szCs w:val="32"/>
          <w:highlight w:val="none"/>
          <w:lang w:val="en-US" w:eastAsia="zh-CN"/>
        </w:rPr>
        <w:t>，本行高度重视金融消费者投诉管理，</w:t>
      </w:r>
      <w:r>
        <w:rPr>
          <w:rFonts w:hint="eastAsia" w:ascii="仿宋_GB2312" w:hAnsi="仿宋_GB2312" w:eastAsia="仿宋_GB2312" w:cs="仿宋_GB2312"/>
          <w:sz w:val="32"/>
          <w:szCs w:val="32"/>
          <w:highlight w:val="none"/>
        </w:rPr>
        <w:t>我行高度重视金融消费投诉管理，下发了《汝阳兴福村镇银行有限责任公司投诉处管理办法》、《汝阳兴福村镇银行信访、投诉处理暂行办法》，建立了包括书信、电子邮件、网络留言、传真、来访等多式多渠道的投诉管理体系，健全投诉处理的问责、回访和通报机制，受理和处理消费者因投诉处理不满而进行的申诉，有推动了消费者投诉问题的解决，为消费者提供了及时、周到的服务与帮助。</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）内部培训方面</w:t>
      </w:r>
      <w:r>
        <w:rPr>
          <w:rFonts w:hint="eastAsia" w:ascii="仿宋_GB2312" w:hAnsi="仿宋_GB2312" w:eastAsia="仿宋_GB2312" w:cs="仿宋_GB2312"/>
          <w:sz w:val="32"/>
          <w:szCs w:val="32"/>
          <w:highlight w:val="none"/>
        </w:rPr>
        <w:t>，为提升我行全体员工的客户服务能力，有效保护金融消费者权益，我行在2023年共开展三期相关培训，通过现场讲解、学员互动等各种形式，将业务理论知识与实际客户问题处理能力相结合，将客户关心的业务处理热点和难点问题与典型案例分析处理相结合，使全体员工业务技能和服务方式上得到了有效的提升，服务水平得到了一步提高。</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Style w:val="12"/>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rPr>
        <w:t>）外部宣传方面</w:t>
      </w:r>
      <w:r>
        <w:rPr>
          <w:rFonts w:hint="eastAsia" w:ascii="仿宋_GB2312" w:hAnsi="仿宋_GB2312" w:eastAsia="仿宋_GB2312" w:cs="仿宋_GB2312"/>
          <w:sz w:val="32"/>
          <w:szCs w:val="32"/>
          <w:highlight w:val="none"/>
        </w:rPr>
        <w:t>，</w:t>
      </w:r>
      <w:r>
        <w:rPr>
          <w:rStyle w:val="12"/>
          <w:rFonts w:hint="eastAsia" w:ascii="仿宋_GB2312" w:hAnsi="仿宋_GB2312" w:eastAsia="仿宋_GB2312" w:cs="仿宋_GB2312"/>
          <w:color w:val="000000"/>
          <w:sz w:val="32"/>
          <w:szCs w:val="32"/>
          <w:highlight w:val="none"/>
        </w:rPr>
        <w:t>业务宣传方面，我行积极参加行业协会及监管部门组织的各种活动，借助走进社区市场业务拓展活动，采取包括横幅、大屏幕、宣传折页手册等多种形式，不断提升消费者权益保护宣传效果，针对不同年龄客户层，细分受众人群，因材施教。一是对学生进行银行卡、防范金融诈骗、小额贷款等基础性金融知识趣味讲解；二是对青年人群重点宣传存贷款利率政策、征信知识、投资理念及资风险等方面知识；三是对老年人群重点宣传打击非法集资防范金融诈骗、反假币及存款保险等方面知识，有力提高了言传活动的实效性。同时积极征求消费者对改进金融服务、提服务质量的意见和建议，力求最大限度满足金融消费者的合理需求。</w:t>
      </w:r>
    </w:p>
    <w:p>
      <w:pPr>
        <w:spacing w:line="56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）自检自查工作方面</w:t>
      </w:r>
      <w:r>
        <w:rPr>
          <w:rFonts w:hint="eastAsia" w:ascii="仿宋_GB2312" w:hAnsi="仿宋_GB2312" w:eastAsia="仿宋_GB2312" w:cs="仿宋_GB2312"/>
          <w:sz w:val="32"/>
          <w:szCs w:val="32"/>
          <w:highlight w:val="none"/>
        </w:rPr>
        <w:t>，本行开展了金融消费权益保护自评估工作，并向</w:t>
      </w:r>
      <w:r>
        <w:rPr>
          <w:rFonts w:hint="eastAsia" w:ascii="仿宋_GB2312" w:hAnsi="仿宋_GB2312" w:eastAsia="仿宋_GB2312" w:cs="仿宋_GB2312"/>
          <w:sz w:val="32"/>
          <w:szCs w:val="32"/>
          <w:highlight w:val="none"/>
          <w:lang w:eastAsia="zh-CN"/>
        </w:rPr>
        <w:t>监管部门</w:t>
      </w:r>
      <w:r>
        <w:rPr>
          <w:rFonts w:hint="eastAsia" w:ascii="仿宋_GB2312" w:hAnsi="仿宋_GB2312" w:eastAsia="仿宋_GB2312" w:cs="仿宋_GB2312"/>
          <w:sz w:val="32"/>
          <w:szCs w:val="32"/>
          <w:highlight w:val="none"/>
        </w:rPr>
        <w:t>报送了相关报告报表。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rPr>
      </w:pPr>
      <w:r>
        <w:rPr>
          <w:rStyle w:val="12"/>
          <w:rFonts w:hint="eastAsia" w:ascii="仿宋_GB2312" w:hAnsi="仿宋_GB2312" w:eastAsia="仿宋_GB2312" w:cs="仿宋_GB2312"/>
          <w:color w:val="000000"/>
          <w:sz w:val="32"/>
          <w:szCs w:val="32"/>
          <w:highlight w:val="none"/>
          <w:lang w:val="en-US" w:eastAsia="zh-CN"/>
        </w:rPr>
        <w:t>本</w:t>
      </w:r>
      <w:r>
        <w:rPr>
          <w:rStyle w:val="12"/>
          <w:rFonts w:hint="eastAsia" w:ascii="仿宋_GB2312" w:hAnsi="仿宋_GB2312" w:eastAsia="仿宋_GB2312" w:cs="仿宋_GB2312"/>
          <w:color w:val="000000"/>
          <w:sz w:val="32"/>
          <w:szCs w:val="32"/>
          <w:highlight w:val="none"/>
        </w:rPr>
        <w:t>行在营业网点醒目位置公布本行受理金融消费者投诉的投诉电话,并建立了金融消费者投诉处理工作台帐,时刻跟踪处理结果并接受金融消费者的监督。对于金融消费者提出的意见建议进行汇总整理,对于提出建议比较多的问题进行整改优化。</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Style w:val="12"/>
          <w:rFonts w:hint="eastAsia" w:ascii="仿宋_GB2312" w:hAnsi="仿宋_GB2312" w:eastAsia="仿宋_GB2312" w:cs="仿宋_GB2312"/>
          <w:b/>
          <w:bCs/>
          <w:color w:val="000000"/>
          <w:sz w:val="32"/>
          <w:szCs w:val="32"/>
          <w:highlight w:val="none"/>
        </w:rPr>
      </w:pPr>
      <w:r>
        <w:rPr>
          <w:rStyle w:val="12"/>
          <w:rFonts w:hint="eastAsia" w:ascii="仿宋_GB2312" w:hAnsi="仿宋_GB2312" w:eastAsia="仿宋_GB2312" w:cs="仿宋_GB2312"/>
          <w:b/>
          <w:bCs/>
          <w:color w:val="000000"/>
          <w:sz w:val="32"/>
          <w:szCs w:val="32"/>
          <w:highlight w:val="none"/>
          <w:lang w:eastAsia="zh-CN"/>
        </w:rPr>
        <w:t>（</w:t>
      </w:r>
      <w:r>
        <w:rPr>
          <w:rStyle w:val="12"/>
          <w:rFonts w:hint="eastAsia" w:ascii="仿宋_GB2312" w:hAnsi="仿宋_GB2312" w:eastAsia="仿宋_GB2312" w:cs="仿宋_GB2312"/>
          <w:b/>
          <w:bCs/>
          <w:color w:val="000000"/>
          <w:sz w:val="32"/>
          <w:szCs w:val="32"/>
          <w:highlight w:val="none"/>
          <w:lang w:val="en-US" w:eastAsia="zh-CN"/>
        </w:rPr>
        <w:t>七</w:t>
      </w:r>
      <w:r>
        <w:rPr>
          <w:rStyle w:val="12"/>
          <w:rFonts w:hint="eastAsia" w:ascii="仿宋_GB2312" w:hAnsi="仿宋_GB2312" w:eastAsia="仿宋_GB2312" w:cs="仿宋_GB2312"/>
          <w:b/>
          <w:bCs/>
          <w:color w:val="000000"/>
          <w:sz w:val="32"/>
          <w:szCs w:val="32"/>
          <w:highlight w:val="none"/>
          <w:lang w:eastAsia="zh-CN"/>
        </w:rPr>
        <w:t>）</w:t>
      </w:r>
      <w:r>
        <w:rPr>
          <w:rStyle w:val="12"/>
          <w:rFonts w:hint="eastAsia" w:ascii="仿宋_GB2312" w:hAnsi="仿宋_GB2312" w:eastAsia="仿宋_GB2312" w:cs="仿宋_GB2312"/>
          <w:b/>
          <w:bCs/>
          <w:color w:val="000000"/>
          <w:sz w:val="32"/>
          <w:szCs w:val="32"/>
          <w:highlight w:val="none"/>
        </w:rPr>
        <w:t xml:space="preserve">本年度重点问题发生情况及说明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Style w:val="12"/>
          <w:rFonts w:hint="eastAsia" w:ascii="仿宋_GB2312" w:hAnsi="仿宋_GB2312" w:eastAsia="仿宋_GB2312" w:cs="仿宋_GB2312"/>
          <w:color w:val="000000"/>
          <w:sz w:val="32"/>
          <w:szCs w:val="32"/>
          <w:highlight w:val="none"/>
          <w:lang w:val="en-US" w:eastAsia="zh-CN"/>
        </w:rPr>
      </w:pPr>
      <w:r>
        <w:rPr>
          <w:rStyle w:val="12"/>
          <w:rFonts w:hint="eastAsia" w:ascii="仿宋_GB2312" w:hAnsi="仿宋_GB2312" w:eastAsia="仿宋_GB2312" w:cs="仿宋_GB2312"/>
          <w:color w:val="000000"/>
          <w:sz w:val="32"/>
          <w:szCs w:val="32"/>
          <w:highlight w:val="none"/>
          <w:lang w:val="en-US" w:eastAsia="zh-CN"/>
        </w:rPr>
        <w:t>报告期间内，未发生重大问题。</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Style w:val="12"/>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Style w:val="12"/>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Style w:val="12"/>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Style w:val="12"/>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Style w:val="12"/>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Style w:val="12"/>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Style w:val="12"/>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Style w:val="12"/>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Style w:val="12"/>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Style w:val="12"/>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Style w:val="12"/>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Style w:val="12"/>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Style w:val="12"/>
          <w:rFonts w:hint="eastAsia" w:ascii="仿宋_GB2312" w:hAnsi="仿宋_GB2312" w:eastAsia="仿宋_GB2312" w:cs="仿宋_GB2312"/>
          <w:color w:val="000000"/>
          <w:sz w:val="32"/>
          <w:szCs w:val="32"/>
          <w:highlight w:val="none"/>
          <w:lang w:val="en-US" w:eastAsia="zh-CN"/>
        </w:rPr>
      </w:pPr>
    </w:p>
    <w:p>
      <w:pPr>
        <w:pStyle w:val="2"/>
        <w:rPr>
          <w:rFonts w:hint="eastAsia" w:ascii="仿宋_GB2312" w:hAnsi="仿宋_GB2312" w:eastAsia="仿宋_GB2312" w:cs="仿宋_GB2312"/>
          <w:sz w:val="32"/>
          <w:szCs w:val="32"/>
        </w:rPr>
      </w:pPr>
      <w:bookmarkStart w:id="10" w:name="_Toc17068"/>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汝阳兴福村镇银行2023</w:t>
      </w:r>
      <w:r>
        <w:rPr>
          <w:rFonts w:hint="eastAsia" w:ascii="仿宋_GB2312" w:hAnsi="仿宋_GB2312" w:eastAsia="仿宋_GB2312" w:cs="仿宋_GB2312"/>
          <w:sz w:val="32"/>
          <w:szCs w:val="32"/>
        </w:rPr>
        <w:t>年度信息披露表</w:t>
      </w:r>
      <w:bookmarkEnd w:id="10"/>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汝阳兴福村镇银行</w:t>
      </w:r>
      <w:r>
        <w:rPr>
          <w:rFonts w:hint="eastAsia" w:ascii="仿宋_GB2312" w:hAnsi="仿宋_GB2312" w:eastAsia="仿宋_GB2312" w:cs="仿宋_GB2312"/>
          <w:sz w:val="32"/>
          <w:szCs w:val="32"/>
          <w:lang w:val="en-US" w:eastAsia="zh-CN"/>
        </w:rPr>
        <w:t>股份</w:t>
      </w:r>
      <w:r>
        <w:rPr>
          <w:rFonts w:hint="eastAsia" w:ascii="仿宋_GB2312" w:hAnsi="仿宋_GB2312" w:eastAsia="仿宋_GB2312" w:cs="仿宋_GB2312"/>
          <w:sz w:val="32"/>
          <w:szCs w:val="32"/>
        </w:rPr>
        <w:t>有限公司</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年度信息披露表</w:t>
      </w:r>
    </w:p>
    <w:p>
      <w:pPr>
        <w:spacing w:line="560" w:lineRule="exact"/>
        <w:ind w:firstLine="5472" w:firstLineChars="171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单位：人、%、</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元、次</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903"/>
        <w:gridCol w:w="721"/>
        <w:gridCol w:w="213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628"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mc:AlternateContent>
                <mc:Choice Requires="wpg">
                  <w:drawing>
                    <wp:anchor distT="0" distB="0" distL="114300" distR="114300" simplePos="0" relativeHeight="251659264" behindDoc="0" locked="0" layoutInCell="1" allowOverlap="1">
                      <wp:simplePos x="0" y="0"/>
                      <wp:positionH relativeFrom="column">
                        <wp:posOffset>-67945</wp:posOffset>
                      </wp:positionH>
                      <wp:positionV relativeFrom="paragraph">
                        <wp:posOffset>-1270</wp:posOffset>
                      </wp:positionV>
                      <wp:extent cx="1694180" cy="633730"/>
                      <wp:effectExtent l="1905" t="4445" r="10795" b="17145"/>
                      <wp:wrapNone/>
                      <wp:docPr id="6" name="组合 6"/>
                      <wp:cNvGraphicFramePr/>
                      <a:graphic xmlns:a="http://schemas.openxmlformats.org/drawingml/2006/main">
                        <a:graphicData uri="http://schemas.microsoft.com/office/word/2010/wordprocessingGroup">
                          <wpg:wgp>
                            <wpg:cNvGrpSpPr/>
                            <wpg:grpSpPr>
                              <a:xfrm>
                                <a:off x="0" y="0"/>
                                <a:ext cx="1694180" cy="633730"/>
                                <a:chOff x="0" y="0"/>
                                <a:chExt cx="2283" cy="1020"/>
                              </a:xfrm>
                              <a:effectLst/>
                            </wpg:grpSpPr>
                            <wps:wsp>
                              <wps:cNvPr id="2" name="__TH_L2"/>
                              <wps:cNvCnPr/>
                              <wps:spPr>
                                <a:xfrm>
                                  <a:off x="0" y="0"/>
                                  <a:ext cx="2283" cy="1020"/>
                                </a:xfrm>
                                <a:prstGeom prst="line">
                                  <a:avLst/>
                                </a:prstGeom>
                                <a:ln w="6350" cap="flat" cmpd="sng">
                                  <a:solidFill>
                                    <a:srgbClr val="000000"/>
                                  </a:solidFill>
                                  <a:prstDash val="solid"/>
                                  <a:headEnd type="none" w="med" len="med"/>
                                  <a:tailEnd type="none" w="med" len="med"/>
                                </a:ln>
                                <a:effectLst/>
                              </wps:spPr>
                              <wps:bodyPr upright="1"/>
                            </wps:wsp>
                            <wps:wsp>
                              <wps:cNvPr id="3" name="__TH_B113"/>
                              <wps:cNvSpPr txBox="1"/>
                              <wps:spPr>
                                <a:xfrm>
                                  <a:off x="1107" y="105"/>
                                  <a:ext cx="252" cy="262"/>
                                </a:xfrm>
                                <a:prstGeom prst="rect">
                                  <a:avLst/>
                                </a:prstGeom>
                                <a:noFill/>
                                <a:ln w="9525">
                                  <a:noFill/>
                                </a:ln>
                                <a:effectLst/>
                              </wps:spPr>
                              <wps:txbx>
                                <w:txbxContent>
                                  <w:p>
                                    <w:pPr>
                                      <w:snapToGrid w:val="0"/>
                                    </w:pPr>
                                    <w:r>
                                      <w:rPr>
                                        <w:rFonts w:hint="eastAsia"/>
                                      </w:rPr>
                                      <w:t>时</w:t>
                                    </w:r>
                                  </w:p>
                                </w:txbxContent>
                              </wps:txbx>
                              <wps:bodyPr lIns="0" tIns="0" rIns="0" bIns="0" upright="1"/>
                            </wps:wsp>
                            <wps:wsp>
                              <wps:cNvPr id="4" name="__TH_B124"/>
                              <wps:cNvSpPr txBox="1"/>
                              <wps:spPr>
                                <a:xfrm>
                                  <a:off x="1719" y="378"/>
                                  <a:ext cx="253" cy="263"/>
                                </a:xfrm>
                                <a:prstGeom prst="rect">
                                  <a:avLst/>
                                </a:prstGeom>
                                <a:noFill/>
                                <a:ln w="9525">
                                  <a:noFill/>
                                </a:ln>
                                <a:effectLst/>
                              </wps:spPr>
                              <wps:txbx>
                                <w:txbxContent>
                                  <w:p>
                                    <w:pPr>
                                      <w:snapToGrid w:val="0"/>
                                    </w:pPr>
                                    <w:r>
                                      <w:rPr>
                                        <w:rFonts w:hint="eastAsia"/>
                                      </w:rPr>
                                      <w:t>期</w:t>
                                    </w:r>
                                  </w:p>
                                </w:txbxContent>
                              </wps:txbx>
                              <wps:bodyPr lIns="0" tIns="0" rIns="0" bIns="0" upright="1"/>
                            </wps:wsp>
                            <wps:wsp>
                              <wps:cNvPr id="5" name="__TH_B215"/>
                              <wps:cNvSpPr txBox="1"/>
                              <wps:spPr>
                                <a:xfrm>
                                  <a:off x="284" y="397"/>
                                  <a:ext cx="253" cy="262"/>
                                </a:xfrm>
                                <a:prstGeom prst="rect">
                                  <a:avLst/>
                                </a:prstGeom>
                                <a:noFill/>
                                <a:ln w="9525">
                                  <a:noFill/>
                                </a:ln>
                                <a:effectLst/>
                              </wps:spPr>
                              <wps:txbx>
                                <w:txbxContent>
                                  <w:p>
                                    <w:pPr>
                                      <w:snapToGrid w:val="0"/>
                                    </w:pPr>
                                    <w:r>
                                      <w:rPr>
                                        <w:rFonts w:hint="eastAsia"/>
                                      </w:rPr>
                                      <w:t>指</w:t>
                                    </w:r>
                                  </w:p>
                                </w:txbxContent>
                              </wps:txbx>
                              <wps:bodyPr lIns="0" tIns="0" rIns="0" bIns="0" upright="1"/>
                            </wps:wsp>
                            <wps:wsp>
                              <wps:cNvPr id="7" name="__TH_B226"/>
                              <wps:cNvSpPr txBox="1"/>
                              <wps:spPr>
                                <a:xfrm>
                                  <a:off x="853" y="651"/>
                                  <a:ext cx="252" cy="262"/>
                                </a:xfrm>
                                <a:prstGeom prst="rect">
                                  <a:avLst/>
                                </a:prstGeom>
                                <a:noFill/>
                                <a:ln w="9525">
                                  <a:noFill/>
                                </a:ln>
                                <a:effectLst/>
                              </wps:spPr>
                              <wps:txbx>
                                <w:txbxContent>
                                  <w:p>
                                    <w:pPr>
                                      <w:snapToGrid w:val="0"/>
                                    </w:pPr>
                                    <w:r>
                                      <w:rPr>
                                        <w:rFonts w:hint="eastAsia"/>
                                      </w:rPr>
                                      <w:t>标</w:t>
                                    </w:r>
                                  </w:p>
                                </w:txbxContent>
                              </wps:txbx>
                              <wps:bodyPr lIns="0" tIns="0" rIns="0" bIns="0" upright="1"/>
                            </wps:wsp>
                          </wpg:wgp>
                        </a:graphicData>
                      </a:graphic>
                    </wp:anchor>
                  </w:drawing>
                </mc:Choice>
                <mc:Fallback>
                  <w:pict>
                    <v:group id="_x0000_s1026" o:spid="_x0000_s1026" o:spt="203" style="position:absolute;left:0pt;margin-left:-5.35pt;margin-top:-0.1pt;height:49.9pt;width:133.4pt;z-index:251659264;mso-width-relative:page;mso-height-relative:page;" coordsize="2283,1020" o:gfxdata="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nJynNkAAAAIAQAADwAAAAAAAAABACAAAAAiAAAAZHJzL2Rv&#10;d25yZXYueG1sUEsBAhQAFAAAAAgAh07iQFZccGYdAwAAugsAAA4AAAAAAAAAAQAgAAAAKAEAAGRy&#10;cy9lMm9Eb2MueG1sUEsFBgAAAAAGAAYAWQEAALcGAAAAAA==&#10;">
                      <o:lock v:ext="edit" aspectratio="f"/>
                      <v:line id="__TH_L2" o:spid="_x0000_s1026" o:spt="20" style="position:absolute;left:0;top:0;height:1020;width:2283;"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path arrowok="t"/>
                        <v:fill on="f" focussize="0,0"/>
                        <v:stroke weight="0.5pt" joinstyle="round"/>
                        <v:imagedata o:title=""/>
                        <o:lock v:ext="edit" aspectratio="f"/>
                      </v:line>
                      <v:shape id="__TH_B113" o:spid="_x0000_s1026" o:spt="202" type="#_x0000_t202" style="position:absolute;left:1107;top:105;height:262;width:252;"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path/>
                        <v:fill on="f" focussize="0,0"/>
                        <v:stroke on="f"/>
                        <v:imagedata o:title=""/>
                        <o:lock v:ext="edit" aspectratio="f"/>
                        <v:textbox inset="0mm,0mm,0mm,0mm">
                          <w:txbxContent>
                            <w:p>
                              <w:pPr>
                                <w:snapToGrid w:val="0"/>
                              </w:pPr>
                              <w:r>
                                <w:rPr>
                                  <w:rFonts w:hint="eastAsia"/>
                                </w:rPr>
                                <w:t>时</w:t>
                              </w:r>
                            </w:p>
                          </w:txbxContent>
                        </v:textbox>
                      </v:shape>
                      <v:shape id="__TH_B124" o:spid="_x0000_s1026" o:spt="202" type="#_x0000_t202" style="position:absolute;left:1719;top:378;height:263;width:25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path/>
                        <v:fill on="f" focussize="0,0"/>
                        <v:stroke on="f"/>
                        <v:imagedata o:title=""/>
                        <o:lock v:ext="edit" aspectratio="f"/>
                        <v:textbox inset="0mm,0mm,0mm,0mm">
                          <w:txbxContent>
                            <w:p>
                              <w:pPr>
                                <w:snapToGrid w:val="0"/>
                              </w:pPr>
                              <w:r>
                                <w:rPr>
                                  <w:rFonts w:hint="eastAsia"/>
                                </w:rPr>
                                <w:t>期</w:t>
                              </w:r>
                            </w:p>
                          </w:txbxContent>
                        </v:textbox>
                      </v:shape>
                      <v:shape id="__TH_B215" o:spid="_x0000_s1026" o:spt="202" type="#_x0000_t202" style="position:absolute;left:284;top:397;height:262;width:2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path/>
                        <v:fill on="f" focussize="0,0"/>
                        <v:stroke on="f"/>
                        <v:imagedata o:title=""/>
                        <o:lock v:ext="edit" aspectratio="f"/>
                        <v:textbox inset="0mm,0mm,0mm,0mm">
                          <w:txbxContent>
                            <w:p>
                              <w:pPr>
                                <w:snapToGrid w:val="0"/>
                              </w:pPr>
                              <w:r>
                                <w:rPr>
                                  <w:rFonts w:hint="eastAsia"/>
                                </w:rPr>
                                <w:t>指</w:t>
                              </w:r>
                            </w:p>
                          </w:txbxContent>
                        </v:textbox>
                      </v:shape>
                      <v:shape id="__TH_B226" o:spid="_x0000_s1026" o:spt="202" type="#_x0000_t202" style="position:absolute;left:853;top:651;height:262;width:252;"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path/>
                        <v:fill on="f" focussize="0,0"/>
                        <v:stroke on="f"/>
                        <v:imagedata o:title=""/>
                        <o:lock v:ext="edit" aspectratio="f"/>
                        <v:textbox inset="0mm,0mm,0mm,0mm">
                          <w:txbxContent>
                            <w:p>
                              <w:pPr>
                                <w:snapToGrid w:val="0"/>
                              </w:pPr>
                              <w:r>
                                <w:rPr>
                                  <w:rFonts w:hint="eastAsia"/>
                                </w:rPr>
                                <w:t>标</w:t>
                              </w:r>
                            </w:p>
                          </w:txbxContent>
                        </v:textbox>
                      </v:shape>
                    </v:group>
                  </w:pict>
                </mc:Fallback>
              </mc:AlternateContent>
            </w:r>
          </w:p>
        </w:tc>
        <w:tc>
          <w:tcPr>
            <w:tcW w:w="2624"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315" w:firstLineChars="15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报告期</w:t>
            </w:r>
          </w:p>
          <w:p>
            <w:pPr>
              <w:spacing w:line="50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eastAsia="zh-CN"/>
              </w:rPr>
              <w:t>202</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年末）</w:t>
            </w:r>
          </w:p>
        </w:tc>
        <w:tc>
          <w:tcPr>
            <w:tcW w:w="2136" w:type="dxa"/>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315" w:firstLineChars="15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基期</w:t>
            </w:r>
          </w:p>
          <w:p>
            <w:pPr>
              <w:spacing w:line="50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（上一年末）</w:t>
            </w:r>
          </w:p>
        </w:tc>
        <w:tc>
          <w:tcPr>
            <w:tcW w:w="1656"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增长幅度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2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职工人数</w:t>
            </w:r>
          </w:p>
        </w:tc>
        <w:tc>
          <w:tcPr>
            <w:tcW w:w="26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66</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61</w:t>
            </w:r>
          </w:p>
          <w:p>
            <w:pPr>
              <w:jc w:val="center"/>
              <w:rPr>
                <w:rFonts w:hint="eastAsia" w:ascii="仿宋_GB2312" w:hAnsi="仿宋_GB2312" w:eastAsia="仿宋_GB2312" w:cs="仿宋_GB2312"/>
                <w:color w:val="auto"/>
                <w:sz w:val="21"/>
                <w:szCs w:val="21"/>
                <w:highlight w:val="none"/>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exact"/>
          <w:jc w:val="center"/>
        </w:trPr>
        <w:tc>
          <w:tcPr>
            <w:tcW w:w="2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股东人数</w:t>
            </w:r>
          </w:p>
        </w:tc>
        <w:tc>
          <w:tcPr>
            <w:tcW w:w="26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8</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9</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jc w:val="center"/>
        </w:trPr>
        <w:tc>
          <w:tcPr>
            <w:tcW w:w="2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资本充足率</w:t>
            </w:r>
          </w:p>
        </w:tc>
        <w:tc>
          <w:tcPr>
            <w:tcW w:w="26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12.86</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13.46</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股本金总额</w:t>
            </w:r>
          </w:p>
        </w:tc>
        <w:tc>
          <w:tcPr>
            <w:tcW w:w="26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3000</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3000</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exact"/>
          <w:jc w:val="center"/>
        </w:trPr>
        <w:tc>
          <w:tcPr>
            <w:tcW w:w="2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不良贷款比例</w:t>
            </w:r>
          </w:p>
        </w:tc>
        <w:tc>
          <w:tcPr>
            <w:tcW w:w="26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0.52</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0.86</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-39.53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2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不良贷款余额</w:t>
            </w:r>
          </w:p>
        </w:tc>
        <w:tc>
          <w:tcPr>
            <w:tcW w:w="26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309.98</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437.61</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-29.17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清收不良贷款额</w:t>
            </w:r>
          </w:p>
        </w:tc>
        <w:tc>
          <w:tcPr>
            <w:tcW w:w="26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513.83</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356.89</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43.97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2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贷款余额</w:t>
            </w:r>
          </w:p>
        </w:tc>
        <w:tc>
          <w:tcPr>
            <w:tcW w:w="26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59064.48</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50748.16</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16.39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jc w:val="center"/>
        </w:trPr>
        <w:tc>
          <w:tcPr>
            <w:tcW w:w="2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存款余额</w:t>
            </w:r>
          </w:p>
        </w:tc>
        <w:tc>
          <w:tcPr>
            <w:tcW w:w="26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68787.76</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53093.01</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29.56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2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费用总额</w:t>
            </w:r>
          </w:p>
        </w:tc>
        <w:tc>
          <w:tcPr>
            <w:tcW w:w="26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1936.21</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1874.13</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jc w:val="center"/>
        </w:trPr>
        <w:tc>
          <w:tcPr>
            <w:tcW w:w="2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收入总额</w:t>
            </w:r>
          </w:p>
        </w:tc>
        <w:tc>
          <w:tcPr>
            <w:tcW w:w="26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3792.23</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3625.88</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exact"/>
          <w:jc w:val="center"/>
        </w:trPr>
        <w:tc>
          <w:tcPr>
            <w:tcW w:w="2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本年利润</w:t>
            </w:r>
          </w:p>
        </w:tc>
        <w:tc>
          <w:tcPr>
            <w:tcW w:w="26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916.40</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833.11</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jc w:val="center"/>
        </w:trPr>
        <w:tc>
          <w:tcPr>
            <w:tcW w:w="2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每股红利</w:t>
            </w:r>
          </w:p>
        </w:tc>
        <w:tc>
          <w:tcPr>
            <w:tcW w:w="26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0.000006</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0</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exact"/>
          <w:jc w:val="center"/>
        </w:trPr>
        <w:tc>
          <w:tcPr>
            <w:tcW w:w="2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“三会”召开次数</w:t>
            </w:r>
          </w:p>
        </w:tc>
        <w:tc>
          <w:tcPr>
            <w:tcW w:w="26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10</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10</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i w:val="0"/>
                <w:color w:val="000000"/>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jc w:val="center"/>
        </w:trPr>
        <w:tc>
          <w:tcPr>
            <w:tcW w:w="4531"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我本人确保汝阳兴福村镇银行</w:t>
            </w:r>
            <w:r>
              <w:rPr>
                <w:rFonts w:hint="eastAsia" w:ascii="仿宋_GB2312" w:hAnsi="仿宋_GB2312" w:eastAsia="仿宋_GB2312" w:cs="仿宋_GB2312"/>
                <w:color w:val="auto"/>
                <w:sz w:val="21"/>
                <w:szCs w:val="21"/>
                <w:highlight w:val="none"/>
                <w:lang w:eastAsia="zh-CN"/>
              </w:rPr>
              <w:t>股份有限</w:t>
            </w:r>
            <w:r>
              <w:rPr>
                <w:rFonts w:hint="eastAsia" w:ascii="仿宋_GB2312" w:hAnsi="仿宋_GB2312" w:eastAsia="仿宋_GB2312" w:cs="仿宋_GB2312"/>
                <w:color w:val="auto"/>
                <w:sz w:val="21"/>
                <w:szCs w:val="21"/>
                <w:highlight w:val="none"/>
              </w:rPr>
              <w:t>公司</w:t>
            </w:r>
            <w:r>
              <w:rPr>
                <w:rFonts w:hint="eastAsia" w:ascii="仿宋_GB2312" w:hAnsi="仿宋_GB2312" w:eastAsia="仿宋_GB2312" w:cs="仿宋_GB2312"/>
                <w:color w:val="auto"/>
                <w:sz w:val="21"/>
                <w:szCs w:val="21"/>
                <w:highlight w:val="none"/>
                <w:lang w:eastAsia="zh-CN"/>
              </w:rPr>
              <w:t>202</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年度信息披露的内容真实。</w:t>
            </w:r>
          </w:p>
          <w:p>
            <w:pPr>
              <w:spacing w:line="400" w:lineRule="exact"/>
              <w:rPr>
                <w:rFonts w:hint="eastAsia" w:ascii="仿宋_GB2312" w:hAnsi="仿宋_GB2312" w:eastAsia="仿宋_GB2312" w:cs="仿宋_GB2312"/>
                <w:color w:val="auto"/>
                <w:sz w:val="21"/>
                <w:szCs w:val="21"/>
                <w:highlight w:val="none"/>
              </w:rPr>
            </w:pPr>
          </w:p>
          <w:p>
            <w:pPr>
              <w:spacing w:line="400" w:lineRule="exact"/>
              <w:rPr>
                <w:rFonts w:hint="eastAsia" w:ascii="仿宋_GB2312" w:hAnsi="仿宋_GB2312" w:eastAsia="仿宋_GB2312" w:cs="仿宋_GB2312"/>
                <w:color w:val="auto"/>
                <w:sz w:val="21"/>
                <w:szCs w:val="21"/>
                <w:highlight w:val="none"/>
              </w:rPr>
            </w:pPr>
          </w:p>
          <w:p>
            <w:pPr>
              <w:spacing w:line="40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汝阳兴福村镇银行</w:t>
            </w:r>
            <w:r>
              <w:rPr>
                <w:rFonts w:hint="eastAsia" w:ascii="仿宋_GB2312" w:hAnsi="仿宋_GB2312" w:eastAsia="仿宋_GB2312" w:cs="仿宋_GB2312"/>
                <w:color w:val="auto"/>
                <w:sz w:val="21"/>
                <w:szCs w:val="21"/>
                <w:highlight w:val="none"/>
                <w:lang w:eastAsia="zh-CN"/>
              </w:rPr>
              <w:t>股份有限公司</w:t>
            </w:r>
          </w:p>
          <w:p>
            <w:pPr>
              <w:spacing w:line="40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（盖章）</w:t>
            </w:r>
          </w:p>
          <w:p>
            <w:pPr>
              <w:spacing w:line="400" w:lineRule="exact"/>
              <w:rPr>
                <w:rFonts w:hint="eastAsia" w:ascii="仿宋_GB2312" w:hAnsi="仿宋_GB2312" w:eastAsia="仿宋_GB2312" w:cs="仿宋_GB2312"/>
                <w:color w:val="auto"/>
                <w:sz w:val="21"/>
                <w:szCs w:val="21"/>
                <w:highlight w:val="none"/>
              </w:rPr>
            </w:pPr>
          </w:p>
          <w:p>
            <w:pPr>
              <w:spacing w:line="400" w:lineRule="exact"/>
              <w:rPr>
                <w:rFonts w:hint="eastAsia" w:ascii="仿宋_GB2312" w:hAnsi="仿宋_GB2312" w:eastAsia="仿宋_GB2312" w:cs="仿宋_GB2312"/>
                <w:color w:val="auto"/>
                <w:sz w:val="21"/>
                <w:szCs w:val="21"/>
                <w:highlight w:val="none"/>
              </w:rPr>
            </w:pPr>
          </w:p>
          <w:p>
            <w:pPr>
              <w:spacing w:line="40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董事</w:t>
            </w:r>
            <w:r>
              <w:rPr>
                <w:rFonts w:hint="eastAsia" w:ascii="仿宋_GB2312" w:hAnsi="仿宋_GB2312" w:eastAsia="仿宋_GB2312" w:cs="仿宋_GB2312"/>
                <w:color w:val="auto"/>
                <w:sz w:val="21"/>
                <w:szCs w:val="21"/>
                <w:highlight w:val="none"/>
                <w:lang w:eastAsia="zh-CN"/>
              </w:rPr>
              <w:t>长</w:t>
            </w:r>
            <w:r>
              <w:rPr>
                <w:rFonts w:hint="eastAsia" w:ascii="仿宋_GB2312" w:hAnsi="仿宋_GB2312" w:eastAsia="仿宋_GB2312" w:cs="仿宋_GB2312"/>
                <w:color w:val="auto"/>
                <w:sz w:val="21"/>
                <w:szCs w:val="21"/>
                <w:highlight w:val="none"/>
              </w:rPr>
              <w:t>（签字）</w:t>
            </w:r>
          </w:p>
          <w:p>
            <w:pPr>
              <w:spacing w:line="40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    </w:t>
            </w:r>
            <w:r>
              <w:rPr>
                <w:rFonts w:hint="eastAsia" w:ascii="仿宋_GB2312" w:hAnsi="仿宋_GB2312" w:eastAsia="仿宋_GB2312"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 xml:space="preserve">年 </w:t>
            </w:r>
            <w:r>
              <w:rPr>
                <w:rFonts w:hint="eastAsia" w:ascii="仿宋_GB2312" w:hAnsi="仿宋_GB2312" w:eastAsia="仿宋_GB2312"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 xml:space="preserve">  月 </w:t>
            </w:r>
            <w:r>
              <w:rPr>
                <w:rFonts w:hint="eastAsia" w:ascii="仿宋_GB2312" w:hAnsi="仿宋_GB2312" w:eastAsia="仿宋_GB2312"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 xml:space="preserve">  日</w:t>
            </w:r>
          </w:p>
        </w:tc>
        <w:tc>
          <w:tcPr>
            <w:tcW w:w="4513"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经审核，汝阳兴福村镇银行</w:t>
            </w:r>
            <w:r>
              <w:rPr>
                <w:rFonts w:hint="eastAsia" w:ascii="仿宋_GB2312" w:hAnsi="仿宋_GB2312" w:eastAsia="仿宋_GB2312" w:cs="仿宋_GB2312"/>
                <w:color w:val="auto"/>
                <w:sz w:val="21"/>
                <w:szCs w:val="21"/>
                <w:highlight w:val="none"/>
                <w:lang w:eastAsia="zh-CN"/>
              </w:rPr>
              <w:t>股份有限</w:t>
            </w:r>
            <w:r>
              <w:rPr>
                <w:rFonts w:hint="eastAsia" w:ascii="仿宋_GB2312" w:hAnsi="仿宋_GB2312" w:eastAsia="仿宋_GB2312" w:cs="仿宋_GB2312"/>
                <w:color w:val="auto"/>
                <w:sz w:val="21"/>
                <w:szCs w:val="21"/>
                <w:highlight w:val="none"/>
              </w:rPr>
              <w:t>公司</w:t>
            </w:r>
            <w:r>
              <w:rPr>
                <w:rFonts w:hint="eastAsia" w:ascii="仿宋_GB2312" w:hAnsi="仿宋_GB2312" w:eastAsia="仿宋_GB2312" w:cs="仿宋_GB2312"/>
                <w:color w:val="auto"/>
                <w:sz w:val="21"/>
                <w:szCs w:val="21"/>
                <w:highlight w:val="none"/>
                <w:lang w:eastAsia="zh-CN"/>
              </w:rPr>
              <w:t>202</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rPr>
              <w:t>年度信息披露表中有关数据与其财务报表一致。</w:t>
            </w:r>
          </w:p>
          <w:p>
            <w:pPr>
              <w:spacing w:line="400" w:lineRule="exact"/>
              <w:rPr>
                <w:rFonts w:hint="eastAsia" w:ascii="仿宋_GB2312" w:hAnsi="仿宋_GB2312" w:eastAsia="仿宋_GB2312" w:cs="仿宋_GB2312"/>
                <w:color w:val="auto"/>
                <w:sz w:val="21"/>
                <w:szCs w:val="21"/>
                <w:highlight w:val="none"/>
              </w:rPr>
            </w:pPr>
          </w:p>
          <w:p>
            <w:pPr>
              <w:spacing w:line="400" w:lineRule="exac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国家金融监督管理总局洛阳监管分局</w:t>
            </w:r>
          </w:p>
          <w:p>
            <w:pPr>
              <w:spacing w:line="40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（盖章）</w:t>
            </w:r>
          </w:p>
          <w:p>
            <w:pPr>
              <w:spacing w:line="400" w:lineRule="exact"/>
              <w:rPr>
                <w:rFonts w:hint="eastAsia" w:ascii="仿宋_GB2312" w:hAnsi="仿宋_GB2312" w:eastAsia="仿宋_GB2312" w:cs="仿宋_GB2312"/>
                <w:color w:val="auto"/>
                <w:sz w:val="21"/>
                <w:szCs w:val="21"/>
                <w:highlight w:val="none"/>
              </w:rPr>
            </w:pPr>
          </w:p>
          <w:p>
            <w:pPr>
              <w:spacing w:line="400" w:lineRule="exact"/>
              <w:rPr>
                <w:rFonts w:hint="eastAsia" w:ascii="仿宋_GB2312" w:hAnsi="仿宋_GB2312" w:eastAsia="仿宋_GB2312" w:cs="仿宋_GB2312"/>
                <w:color w:val="auto"/>
                <w:sz w:val="21"/>
                <w:szCs w:val="21"/>
                <w:highlight w:val="none"/>
              </w:rPr>
            </w:pPr>
          </w:p>
          <w:p>
            <w:pPr>
              <w:spacing w:line="40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负责人（签字）</w:t>
            </w:r>
          </w:p>
          <w:p>
            <w:pPr>
              <w:spacing w:line="40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                  年  </w:t>
            </w:r>
            <w:r>
              <w:rPr>
                <w:rFonts w:hint="eastAsia" w:ascii="仿宋_GB2312" w:hAnsi="仿宋_GB2312" w:eastAsia="仿宋_GB2312"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 xml:space="preserve"> 月  </w:t>
            </w:r>
            <w:r>
              <w:rPr>
                <w:rFonts w:hint="eastAsia" w:ascii="仿宋_GB2312" w:hAnsi="仿宋_GB2312" w:eastAsia="仿宋_GB2312"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 xml:space="preserve"> 日</w:t>
            </w:r>
          </w:p>
        </w:tc>
      </w:tr>
    </w:tbl>
    <w:p>
      <w:pPr>
        <w:pStyle w:val="5"/>
        <w:spacing w:line="480" w:lineRule="exact"/>
        <w:jc w:val="both"/>
        <w:rPr>
          <w:rFonts w:hint="eastAsia" w:ascii="仿宋_GB2312" w:hAnsi="仿宋_GB2312" w:eastAsia="仿宋_GB2312" w:cs="仿宋_GB2312"/>
          <w:sz w:val="32"/>
          <w:szCs w:val="32"/>
          <w:u w:val="single"/>
        </w:rPr>
      </w:pPr>
    </w:p>
    <w:p/>
    <w:sectPr>
      <w:headerReference r:id="rId6" w:type="default"/>
      <w:footerReference r:id="rId7" w:type="default"/>
      <w:pgSz w:w="11906" w:h="16838"/>
      <w:pgMar w:top="2098" w:right="1304" w:bottom="1985" w:left="1304" w:header="0" w:footer="1588"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b w:val="0"/>
                              <w:bCs w:val="0"/>
                              <w:sz w:val="24"/>
                              <w:szCs w:val="40"/>
                              <w:lang w:eastAsia="zh-CN"/>
                            </w:rPr>
                          </w:pPr>
                          <w:r>
                            <w:rPr>
                              <w:rFonts w:hint="eastAsia" w:ascii="宋体" w:hAnsi="宋体" w:eastAsia="宋体" w:cs="宋体"/>
                              <w:b w:val="0"/>
                              <w:bCs w:val="0"/>
                              <w:sz w:val="28"/>
                              <w:szCs w:val="44"/>
                              <w:lang w:eastAsia="zh-CN"/>
                            </w:rPr>
                            <w:fldChar w:fldCharType="begin"/>
                          </w:r>
                          <w:r>
                            <w:rPr>
                              <w:rFonts w:hint="eastAsia" w:ascii="宋体" w:hAnsi="宋体" w:eastAsia="宋体" w:cs="宋体"/>
                              <w:b w:val="0"/>
                              <w:bCs w:val="0"/>
                              <w:sz w:val="28"/>
                              <w:szCs w:val="44"/>
                              <w:lang w:eastAsia="zh-CN"/>
                            </w:rPr>
                            <w:instrText xml:space="preserve"> PAGE  \* MERGEFORMAT </w:instrText>
                          </w:r>
                          <w:r>
                            <w:rPr>
                              <w:rFonts w:hint="eastAsia" w:ascii="宋体" w:hAnsi="宋体" w:eastAsia="宋体" w:cs="宋体"/>
                              <w:b w:val="0"/>
                              <w:bCs w:val="0"/>
                              <w:sz w:val="28"/>
                              <w:szCs w:val="44"/>
                              <w:lang w:eastAsia="zh-CN"/>
                            </w:rPr>
                            <w:fldChar w:fldCharType="separate"/>
                          </w:r>
                          <w:r>
                            <w:rPr>
                              <w:rFonts w:hint="eastAsia" w:ascii="宋体" w:hAnsi="宋体" w:eastAsia="宋体" w:cs="宋体"/>
                              <w:b w:val="0"/>
                              <w:bCs w:val="0"/>
                              <w:sz w:val="28"/>
                              <w:szCs w:val="44"/>
                            </w:rPr>
                            <w:t>4</w:t>
                          </w:r>
                          <w:r>
                            <w:rPr>
                              <w:rFonts w:hint="eastAsia" w:ascii="宋体" w:hAnsi="宋体" w:eastAsia="宋体" w:cs="宋体"/>
                              <w:b w:val="0"/>
                              <w:bCs w:val="0"/>
                              <w:sz w:val="28"/>
                              <w:szCs w:val="4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snapToGrid w:val="0"/>
                      <w:rPr>
                        <w:rFonts w:hint="eastAsia" w:ascii="宋体" w:hAnsi="宋体" w:eastAsia="宋体" w:cs="宋体"/>
                        <w:b w:val="0"/>
                        <w:bCs w:val="0"/>
                        <w:sz w:val="24"/>
                        <w:szCs w:val="40"/>
                        <w:lang w:eastAsia="zh-CN"/>
                      </w:rPr>
                    </w:pPr>
                    <w:r>
                      <w:rPr>
                        <w:rFonts w:hint="eastAsia" w:ascii="宋体" w:hAnsi="宋体" w:eastAsia="宋体" w:cs="宋体"/>
                        <w:b w:val="0"/>
                        <w:bCs w:val="0"/>
                        <w:sz w:val="28"/>
                        <w:szCs w:val="44"/>
                        <w:lang w:eastAsia="zh-CN"/>
                      </w:rPr>
                      <w:fldChar w:fldCharType="begin"/>
                    </w:r>
                    <w:r>
                      <w:rPr>
                        <w:rFonts w:hint="eastAsia" w:ascii="宋体" w:hAnsi="宋体" w:eastAsia="宋体" w:cs="宋体"/>
                        <w:b w:val="0"/>
                        <w:bCs w:val="0"/>
                        <w:sz w:val="28"/>
                        <w:szCs w:val="44"/>
                        <w:lang w:eastAsia="zh-CN"/>
                      </w:rPr>
                      <w:instrText xml:space="preserve"> PAGE  \* MERGEFORMAT </w:instrText>
                    </w:r>
                    <w:r>
                      <w:rPr>
                        <w:rFonts w:hint="eastAsia" w:ascii="宋体" w:hAnsi="宋体" w:eastAsia="宋体" w:cs="宋体"/>
                        <w:b w:val="0"/>
                        <w:bCs w:val="0"/>
                        <w:sz w:val="28"/>
                        <w:szCs w:val="44"/>
                        <w:lang w:eastAsia="zh-CN"/>
                      </w:rPr>
                      <w:fldChar w:fldCharType="separate"/>
                    </w:r>
                    <w:r>
                      <w:rPr>
                        <w:rFonts w:hint="eastAsia" w:ascii="宋体" w:hAnsi="宋体" w:eastAsia="宋体" w:cs="宋体"/>
                        <w:b w:val="0"/>
                        <w:bCs w:val="0"/>
                        <w:sz w:val="28"/>
                        <w:szCs w:val="44"/>
                      </w:rPr>
                      <w:t>4</w:t>
                    </w:r>
                    <w:r>
                      <w:rPr>
                        <w:rFonts w:hint="eastAsia" w:ascii="宋体" w:hAnsi="宋体" w:eastAsia="宋体" w:cs="宋体"/>
                        <w:b w:val="0"/>
                        <w:bCs w:val="0"/>
                        <w:sz w:val="28"/>
                        <w:szCs w:val="4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hint="eastAsia" w:ascii="黑体" w:hAnsi="黑体" w:eastAsia="黑体" w:cs="黑体"/>
        <w:kern w:val="0"/>
        <w:sz w:val="21"/>
        <w:szCs w:val="21"/>
      </w:rPr>
    </w:pPr>
  </w:p>
  <w:p>
    <w:pPr>
      <w:pStyle w:val="7"/>
      <w:pBdr>
        <w:bottom w:val="single" w:color="auto" w:sz="4" w:space="1"/>
      </w:pBdr>
      <w:jc w:val="both"/>
      <w:rPr>
        <w:rFonts w:hint="eastAsia" w:ascii="黑体" w:hAnsi="黑体" w:eastAsia="黑体" w:cs="黑体"/>
        <w:kern w:val="0"/>
        <w:sz w:val="21"/>
        <w:szCs w:val="21"/>
      </w:rPr>
    </w:pPr>
  </w:p>
  <w:p>
    <w:pPr>
      <w:pStyle w:val="7"/>
      <w:pBdr>
        <w:bottom w:val="single" w:color="auto" w:sz="4" w:space="1"/>
      </w:pBdr>
      <w:jc w:val="both"/>
      <w:rPr>
        <w:rFonts w:hint="eastAsia" w:ascii="黑体" w:hAnsi="黑体" w:eastAsia="黑体" w:cs="黑体"/>
        <w:kern w:val="0"/>
        <w:sz w:val="21"/>
        <w:szCs w:val="21"/>
      </w:rPr>
    </w:pPr>
  </w:p>
  <w:p>
    <w:pPr>
      <w:pStyle w:val="7"/>
      <w:pBdr>
        <w:bottom w:val="single" w:color="auto" w:sz="4" w:space="1"/>
      </w:pBdr>
      <w:jc w:val="both"/>
      <w:rPr>
        <w:rFonts w:hint="eastAsia" w:ascii="黑体" w:hAnsi="黑体" w:eastAsia="黑体" w:cs="黑体"/>
        <w:sz w:val="21"/>
        <w:szCs w:val="21"/>
        <w:u w:val="none"/>
        <w:lang w:val="en-US" w:eastAsia="zh-CN"/>
      </w:rPr>
    </w:pPr>
    <w:r>
      <w:rPr>
        <w:rFonts w:hint="eastAsia" w:ascii="黑体" w:hAnsi="黑体" w:eastAsia="黑体" w:cs="黑体"/>
        <w:kern w:val="0"/>
        <w:sz w:val="21"/>
        <w:szCs w:val="21"/>
        <w:u w:val="none"/>
        <w:lang w:eastAsia="zh-CN"/>
      </w:rPr>
      <w:t>汝阳兴福村镇银行</w:t>
    </w:r>
    <w:r>
      <w:rPr>
        <w:rFonts w:hint="eastAsia" w:ascii="黑体" w:hAnsi="黑体" w:eastAsia="黑体" w:cs="黑体"/>
        <w:kern w:val="0"/>
        <w:sz w:val="21"/>
        <w:szCs w:val="21"/>
        <w:u w:val="none"/>
      </w:rPr>
      <w:t>第</w:t>
    </w:r>
    <w:r>
      <w:rPr>
        <w:rFonts w:hint="eastAsia" w:ascii="黑体" w:hAnsi="黑体" w:eastAsia="黑体" w:cs="黑体"/>
        <w:kern w:val="0"/>
        <w:sz w:val="21"/>
        <w:szCs w:val="21"/>
        <w:u w:val="none"/>
        <w:lang w:eastAsia="zh-CN"/>
      </w:rPr>
      <w:t>一</w:t>
    </w:r>
    <w:r>
      <w:rPr>
        <w:rFonts w:hint="eastAsia" w:ascii="黑体" w:hAnsi="黑体" w:eastAsia="黑体" w:cs="黑体"/>
        <w:kern w:val="0"/>
        <w:sz w:val="21"/>
        <w:szCs w:val="21"/>
        <w:u w:val="none"/>
      </w:rPr>
      <w:t>届董事会第</w:t>
    </w:r>
    <w:r>
      <w:rPr>
        <w:rFonts w:hint="eastAsia" w:ascii="黑体" w:hAnsi="黑体" w:eastAsia="黑体" w:cs="黑体"/>
        <w:kern w:val="0"/>
        <w:sz w:val="21"/>
        <w:szCs w:val="21"/>
        <w:u w:val="none"/>
        <w:lang w:eastAsia="zh-CN"/>
      </w:rPr>
      <w:t>三</w:t>
    </w:r>
    <w:r>
      <w:rPr>
        <w:rFonts w:hint="eastAsia" w:ascii="黑体" w:hAnsi="黑体" w:eastAsia="黑体" w:cs="黑体"/>
        <w:kern w:val="0"/>
        <w:sz w:val="21"/>
        <w:szCs w:val="21"/>
        <w:u w:val="none"/>
      </w:rPr>
      <w:t xml:space="preserve">次会议材料        </w:t>
    </w:r>
    <w:r>
      <w:rPr>
        <w:rFonts w:hint="eastAsia" w:ascii="黑体" w:hAnsi="黑体" w:eastAsia="黑体" w:cs="黑体"/>
        <w:kern w:val="0"/>
        <w:sz w:val="21"/>
        <w:szCs w:val="21"/>
        <w:u w:val="none"/>
        <w:lang w:val="en-US" w:eastAsia="zh-CN"/>
      </w:rPr>
      <w:t xml:space="preserve">     </w:t>
    </w:r>
    <w:r>
      <w:rPr>
        <w:rFonts w:hint="eastAsia" w:ascii="黑体" w:hAnsi="黑体" w:eastAsia="黑体" w:cs="黑体"/>
        <w:kern w:val="0"/>
        <w:sz w:val="21"/>
        <w:szCs w:val="21"/>
        <w:u w:val="none"/>
      </w:rPr>
      <w:t xml:space="preserve">          </w:t>
    </w:r>
    <w:r>
      <w:rPr>
        <w:rFonts w:hint="eastAsia" w:ascii="黑体" w:hAnsi="黑体" w:eastAsia="黑体" w:cs="黑体"/>
        <w:kern w:val="0"/>
        <w:sz w:val="21"/>
        <w:szCs w:val="21"/>
        <w:u w:val="none"/>
        <w:lang w:val="en-US" w:eastAsia="zh-CN"/>
      </w:rPr>
      <w:t xml:space="preserve"> </w:t>
    </w:r>
    <w:r>
      <w:rPr>
        <w:rFonts w:hint="eastAsia" w:ascii="黑体" w:hAnsi="黑体" w:eastAsia="黑体" w:cs="黑体"/>
        <w:kern w:val="0"/>
        <w:sz w:val="21"/>
        <w:szCs w:val="21"/>
        <w:u w:val="none"/>
      </w:rPr>
      <w:t xml:space="preserve"> 议案编号：0</w:t>
    </w:r>
    <w:r>
      <w:rPr>
        <w:rFonts w:hint="eastAsia" w:ascii="黑体" w:hAnsi="黑体" w:eastAsia="黑体" w:cs="黑体"/>
        <w:kern w:val="0"/>
        <w:sz w:val="21"/>
        <w:szCs w:val="21"/>
        <w:u w:val="none"/>
        <w:lang w:val="en-US" w:eastAsia="zh-CN"/>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hint="eastAsia" w:ascii="方正小标宋_GBK" w:hAnsi="方正小标宋_GBK" w:eastAsia="方正小标宋_GBK" w:cs="方正小标宋_GBK"/>
        <w:kern w:val="0"/>
        <w:sz w:val="21"/>
        <w:szCs w:val="21"/>
      </w:rPr>
    </w:pPr>
  </w:p>
  <w:p>
    <w:pPr>
      <w:pStyle w:val="7"/>
      <w:pBdr>
        <w:bottom w:val="none" w:color="auto" w:sz="0" w:space="1"/>
      </w:pBdr>
      <w:jc w:val="both"/>
      <w:rPr>
        <w:rFonts w:hint="eastAsia" w:ascii="方正小标宋_GBK" w:hAnsi="方正小标宋_GBK" w:eastAsia="方正小标宋_GBK" w:cs="方正小标宋_GBK"/>
        <w:kern w:val="0"/>
        <w:sz w:val="21"/>
        <w:szCs w:val="21"/>
      </w:rPr>
    </w:pPr>
  </w:p>
  <w:p>
    <w:pPr>
      <w:pStyle w:val="7"/>
      <w:pBdr>
        <w:bottom w:val="none" w:color="auto" w:sz="0" w:space="1"/>
      </w:pBdr>
      <w:jc w:val="both"/>
      <w:rPr>
        <w:rFonts w:hint="eastAsia" w:ascii="方正小标宋_GBK" w:hAnsi="方正小标宋_GBK" w:eastAsia="方正小标宋_GBK" w:cs="方正小标宋_GBK"/>
        <w:kern w:val="0"/>
        <w:sz w:val="21"/>
        <w:szCs w:val="21"/>
      </w:rPr>
    </w:pPr>
  </w:p>
  <w:p>
    <w:pPr>
      <w:pStyle w:val="7"/>
      <w:pBdr>
        <w:bottom w:val="none" w:color="auto" w:sz="0" w:space="1"/>
      </w:pBdr>
      <w:jc w:val="both"/>
      <w:rPr>
        <w:rFonts w:hint="eastAsia" w:eastAsia="方正小标宋_GBK"/>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56D058"/>
    <w:multiLevelType w:val="singleLevel"/>
    <w:tmpl w:val="DF56D058"/>
    <w:lvl w:ilvl="0" w:tentative="0">
      <w:start w:val="8"/>
      <w:numFmt w:val="chineseCounting"/>
      <w:suff w:val="nothing"/>
      <w:lvlText w:val="（%1）"/>
      <w:lvlJc w:val="left"/>
      <w:rPr>
        <w:rFonts w:hint="eastAsia"/>
      </w:rPr>
    </w:lvl>
  </w:abstractNum>
  <w:abstractNum w:abstractNumId="1">
    <w:nsid w:val="00000010"/>
    <w:multiLevelType w:val="singleLevel"/>
    <w:tmpl w:val="00000010"/>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E143A"/>
    <w:rsid w:val="0EFE1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3"/>
    <w:link w:val="14"/>
    <w:qFormat/>
    <w:uiPriority w:val="0"/>
    <w:pPr>
      <w:keepNext/>
      <w:keepLines/>
      <w:spacing w:beforeLines="0" w:afterLines="0" w:line="560" w:lineRule="exact"/>
      <w:ind w:firstLine="480" w:firstLineChars="200"/>
      <w:outlineLvl w:val="0"/>
    </w:pPr>
    <w:rPr>
      <w:rFonts w:ascii="Times New Roman" w:hAnsi="Times New Roman" w:eastAsia="宋体" w:cs="Times New Roman"/>
      <w:b/>
      <w:bCs/>
      <w:kern w:val="44"/>
      <w:sz w:val="32"/>
      <w:szCs w:val="44"/>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afterLines="0" w:afterAutospacing="0"/>
    </w:pPr>
  </w:style>
  <w:style w:type="paragraph" w:styleId="4">
    <w:name w:val="Document Map"/>
    <w:basedOn w:val="1"/>
    <w:qFormat/>
    <w:uiPriority w:val="0"/>
    <w:pPr>
      <w:shd w:val="clear" w:color="auto" w:fill="000080"/>
    </w:pPr>
  </w:style>
  <w:style w:type="paragraph" w:styleId="5">
    <w:name w:val="Plain Text"/>
    <w:basedOn w:val="1"/>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uiPriority w:val="39"/>
  </w:style>
  <w:style w:type="paragraph" w:styleId="9">
    <w:name w:val="Normal (Web)"/>
    <w:basedOn w:val="1"/>
    <w:uiPriority w:val="0"/>
    <w:pPr>
      <w:widowControl/>
      <w:spacing w:before="100" w:beforeLines="0" w:beforeAutospacing="1" w:after="100" w:afterLines="0" w:afterAutospacing="1"/>
      <w:jc w:val="left"/>
    </w:pPr>
    <w:rPr>
      <w:rFonts w:ascii="宋体" w:hAnsi="宋体"/>
      <w:kern w:val="0"/>
      <w:sz w:val="24"/>
      <w:szCs w:val="32"/>
    </w:rPr>
  </w:style>
  <w:style w:type="table" w:styleId="11">
    <w:name w:val="Table Grid"/>
    <w:basedOn w:val="10"/>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标题 1 Char"/>
    <w:link w:val="2"/>
    <w:uiPriority w:val="0"/>
    <w:rPr>
      <w:rFonts w:ascii="Times New Roman" w:hAnsi="Times New Roman" w:eastAsia="宋体"/>
      <w:b/>
      <w:bCs/>
      <w:kern w:val="44"/>
      <w:sz w:val="32"/>
      <w:szCs w:val="44"/>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 Char"/>
    <w:basedOn w:val="4"/>
    <w:qFormat/>
    <w:uiPriority w:val="0"/>
    <w:pPr>
      <w:widowControl/>
      <w:snapToGrid w:val="0"/>
      <w:spacing w:after="160" w:afterLines="0" w:line="360" w:lineRule="auto"/>
      <w:jc w:val="left"/>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2025-03-13T06:19:00Z</dcterms:created>
  <dc:creator>dell</dc:creator>
  <cp:lastModifiedBy>dell</cp:lastModifiedBy>
  <dcterms:modified xsi:type="dcterms:W3CDTF">2025-03-13T06:22:06Z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42098C9053824F1AA1C51958D110C142</vt:lpwstr>
  </property>
</Properties>
</file>